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1_edei--DocumentType_c2026070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C_edei--DocumentPeriodEndDate_c202"/>
      <w:bookmarkEnd w:id="3"/>
      <w:r>
        <w:rPr>
          <w:rFonts w:ascii="Times New Roman;Times;Serif" w:hAnsi="Times New Roman;Times;Serif"/>
          <w:b/>
          <w:i w:val="false"/>
          <w:caps w:val="false"/>
          <w:smallCaps w:val="false"/>
          <w:sz w:val="20"/>
        </w:rPr>
        <w:t>July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4_edei--EntityRegistrantName_c2026"/>
      <w:bookmarkEnd w:id="4"/>
      <w:r>
        <w:rPr>
          <w:rFonts w:ascii="Times New Roman;Times;Serif" w:hAnsi="Times New Roman;Times;Serif"/>
          <w:b/>
          <w:i w:val="false"/>
          <w:caps w:val="false"/>
          <w:smallCaps w:val="false"/>
          <w:sz w:val="36"/>
        </w:rPr>
        <w:t>CINGULATE INC.</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995" w:type="dxa"/>
        <w:jc w:val="left"/>
        <w:tblInd w:w="0" w:type="dxa"/>
        <w:tblLayout w:type="fixed"/>
        <w:tblCellMar>
          <w:top w:w="0" w:type="dxa"/>
          <w:left w:w="0" w:type="dxa"/>
          <w:bottom w:w="0" w:type="dxa"/>
          <w:right w:w="0" w:type="dxa"/>
        </w:tblCellMar>
      </w:tblPr>
      <w:tblGrid>
        <w:gridCol w:w="2225"/>
        <w:gridCol w:w="60"/>
        <w:gridCol w:w="1100"/>
        <w:gridCol w:w="60"/>
        <w:gridCol w:w="1550"/>
      </w:tblGrid>
      <w:tr>
        <w:trPr/>
        <w:tc>
          <w:tcPr>
            <w:tcW w:w="222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C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0_edei--EntityFileNumber_c20260709"/>
            <w:bookmarkEnd w:id="6"/>
            <w:r>
              <w:rPr>
                <w:rFonts w:ascii="Times New Roman;Times;Serif" w:hAnsi="Times New Roman;Times;Serif"/>
                <w:b/>
                <w:i w:val="false"/>
                <w:caps w:val="false"/>
                <w:smallCaps w:val="false"/>
                <w:sz w:val="20"/>
              </w:rPr>
              <w:t>001-40874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0_edei--EntityTaxIdentificationNum"/>
            <w:bookmarkEnd w:id="7"/>
            <w:r>
              <w:rPr>
                <w:rFonts w:ascii="Times New Roman;Times;Serif" w:hAnsi="Times New Roman;Times;Serif"/>
                <w:b/>
                <w:i w:val="false"/>
                <w:caps w:val="false"/>
                <w:smallCaps w:val="false"/>
                <w:sz w:val="20"/>
              </w:rPr>
              <w:t>86-3825535</w:t>
            </w:r>
          </w:p>
        </w:tc>
      </w:tr>
      <w:tr>
        <w:trPr/>
        <w:tc>
          <w:tcPr>
            <w:tcW w:w="222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(Commission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(IRS Employer</w:t>
            </w:r>
          </w:p>
        </w:tc>
      </w:tr>
      <w:tr>
        <w:trPr/>
        <w:tc>
          <w:tcPr>
            <w:tcW w:w="2225"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50" w:type="dxa"/>
            <w:tcBorders/>
            <w:vAlign w:val="center"/>
          </w:tcPr>
          <w:p>
            <w:pPr>
              <w:pStyle w:val="TableContents"/>
              <w:bidi w:val="0"/>
              <w:spacing w:before="0" w:after="283"/>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8_edei--EntityAddressAddressLine1_"/>
      <w:bookmarkEnd w:id="8"/>
      <w:r>
        <w:rPr>
          <w:rFonts w:ascii="Times New Roman;Times;Serif" w:hAnsi="Times New Roman;Times;Serif"/>
          <w:b/>
          <w:i w:val="false"/>
          <w:caps w:val="false"/>
          <w:smallCaps w:val="false"/>
          <w:sz w:val="20"/>
        </w:rPr>
        <w:t>1901 W. 47</w:t>
      </w:r>
      <w:r>
        <w:rPr>
          <w:rFonts w:ascii="Times New Roman;Times;Serif" w:hAnsi="Times New Roman;Times;Serif"/>
          <w:b/>
          <w:i w:val="false"/>
          <w:caps w:val="false"/>
          <w:smallCaps w:val="false"/>
          <w:position w:val="7"/>
          <w:sz w:val="16"/>
          <w:sz w:val="20"/>
        </w:rPr>
        <w:t>th</w:t>
      </w:r>
      <w:r>
        <w:rPr>
          <w:rFonts w:ascii="Times New Roman;Times;Serif" w:hAnsi="Times New Roman;Times;Serif"/>
          <w:b/>
          <w:i w:val="false"/>
          <w:caps w:val="false"/>
          <w:smallCaps w:val="false"/>
          <w:sz w:val="20"/>
        </w:rPr>
        <w:t xml:space="preserve"> Place</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E_edei--EntityAddressCityOrTown_c2"/>
      <w:bookmarkEnd w:id="9"/>
      <w:r>
        <w:rPr>
          <w:rFonts w:ascii="Times New Roman;Times;Serif" w:hAnsi="Times New Roman;Times;Serif"/>
          <w:b/>
          <w:i w:val="false"/>
          <w:caps w:val="false"/>
          <w:smallCaps w:val="false"/>
          <w:sz w:val="20"/>
        </w:rPr>
        <w:t xml:space="preserve">Kansas City, </w:t>
      </w:r>
      <w:bookmarkStart w:id="10" w:name="xdx_906_edei--EntityAddressStateOrProvin"/>
      <w:bookmarkEnd w:id="10"/>
      <w:r>
        <w:rPr>
          <w:rFonts w:ascii="Times New Roman;Times;Serif" w:hAnsi="Times New Roman;Times;Serif"/>
          <w:b/>
          <w:i w:val="false"/>
          <w:caps w:val="false"/>
          <w:smallCaps w:val="false"/>
          <w:sz w:val="20"/>
        </w:rPr>
        <w:t xml:space="preserve">KS </w:t>
      </w:r>
      <w:bookmarkStart w:id="11" w:name="xdx_90B_edei--EntityAddressPostalZipCode"/>
      <w:bookmarkEnd w:id="11"/>
      <w:r>
        <w:rPr>
          <w:rFonts w:ascii="Times New Roman;Times;Serif" w:hAnsi="Times New Roman;Times;Serif"/>
          <w:b/>
          <w:i w:val="false"/>
          <w:caps w:val="false"/>
          <w:smallCaps w:val="false"/>
          <w:sz w:val="20"/>
        </w:rPr>
        <w:t>66205</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xdx_905_edei--CityAreaCode_c20260709__20"/>
      <w:bookmarkEnd w:id="12"/>
      <w:r>
        <w:rPr>
          <w:rFonts w:ascii="Times New Roman;Times;Serif" w:hAnsi="Times New Roman;Times;Serif"/>
          <w:b/>
          <w:i w:val="false"/>
          <w:caps w:val="false"/>
          <w:smallCaps w:val="false"/>
          <w:sz w:val="20"/>
        </w:rPr>
        <w:t xml:space="preserve">(913) </w:t>
      </w:r>
      <w:bookmarkStart w:id="13" w:name="xdx_90B_edei--LocalPhoneNumber_c20260709"/>
      <w:bookmarkEnd w:id="13"/>
      <w:r>
        <w:rPr>
          <w:rFonts w:ascii="Times New Roman;Times;Serif" w:hAnsi="Times New Roman;Times;Serif"/>
          <w:b/>
          <w:i w:val="false"/>
          <w:caps w:val="false"/>
          <w:smallCaps w:val="false"/>
          <w:sz w:val="20"/>
        </w:rPr>
        <w:t>942-2300</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7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5" w:name="xdx_905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9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1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bl>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670" w:type="dxa"/>
        <w:jc w:val="left"/>
        <w:tblInd w:w="0" w:type="dxa"/>
        <w:tblLayout w:type="fixed"/>
        <w:tblCellMar>
          <w:top w:w="0" w:type="dxa"/>
          <w:left w:w="0" w:type="dxa"/>
          <w:bottom w:w="28" w:type="dxa"/>
          <w:right w:w="0" w:type="dxa"/>
        </w:tblCellMar>
      </w:tblPr>
      <w:tblGrid>
        <w:gridCol w:w="3665"/>
        <w:gridCol w:w="60"/>
        <w:gridCol w:w="1610"/>
        <w:gridCol w:w="60"/>
        <w:gridCol w:w="3275"/>
      </w:tblGrid>
      <w:tr>
        <w:trPr/>
        <w:tc>
          <w:tcPr>
            <w:tcW w:w="366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exchange on which registered</w:t>
            </w:r>
          </w:p>
        </w:tc>
      </w:tr>
      <w:tr>
        <w:trPr/>
        <w:tc>
          <w:tcPr>
            <w:tcW w:w="36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6_edei--Security12bTitle_c20260709"/>
            <w:bookmarkEnd w:id="18"/>
            <w:r>
              <w:rPr>
                <w:rFonts w:ascii="Times New Roman;Times;Serif" w:hAnsi="Times New Roman;Times;Serif"/>
                <w:b w:val="false"/>
                <w:i w:val="false"/>
                <w:caps w:val="false"/>
                <w:smallCaps w:val="false"/>
                <w:sz w:val="20"/>
              </w:rPr>
              <w:t xml:space="preserve">Common Stock, par value $0.0001 per share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A_edei--TradingSymbol_c20260709__2"/>
            <w:bookmarkEnd w:id="19"/>
            <w:r>
              <w:rPr>
                <w:rFonts w:ascii="Times New Roman;Times;Serif" w:hAnsi="Times New Roman;Times;Serif"/>
                <w:b w:val="false"/>
                <w:i w:val="false"/>
                <w:caps w:val="false"/>
                <w:smallCaps w:val="false"/>
                <w:sz w:val="20"/>
              </w:rPr>
              <w:t>CING</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0" w:name="xdx_900_edei--SecurityExchangeName_c2026"/>
            <w:bookmarkEnd w:id="20"/>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r>
        <w:trPr/>
        <w:tc>
          <w:tcPr>
            <w:tcW w:w="36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B_edei--Security12bTitle_c20260709"/>
            <w:bookmarkEnd w:id="21"/>
            <w:r>
              <w:rPr>
                <w:rFonts w:ascii="Times New Roman;Times;Serif" w:hAnsi="Times New Roman;Times;Serif"/>
                <w:b w:val="false"/>
                <w:i w:val="false"/>
                <w:caps w:val="false"/>
                <w:smallCaps w:val="false"/>
                <w:sz w:val="20"/>
              </w:rPr>
              <w:t>Warrants, exercisable for common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TradingSymbol_c20260709__2"/>
            <w:bookmarkEnd w:id="22"/>
            <w:r>
              <w:rPr>
                <w:rFonts w:ascii="Times New Roman;Times;Serif" w:hAnsi="Times New Roman;Times;Serif"/>
                <w:b w:val="false"/>
                <w:i w:val="false"/>
                <w:caps w:val="false"/>
                <w:smallCaps w:val="false"/>
                <w:sz w:val="20"/>
              </w:rPr>
              <w:t>CINGW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27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bookmarkStart w:id="23" w:name="xdx_901_edei--SecurityExchangeName_c2026"/>
            <w:bookmarkEnd w:id="23"/>
            <w:r>
              <w:rPr>
                <w:rFonts w:ascii="Times New Roman;Times;Serif" w:hAnsi="Times New Roman;Times;Serif"/>
                <w:b w:val="false"/>
                <w:i w:val="false"/>
                <w:caps w:val="false"/>
                <w:smallCaps w:val="false"/>
                <w:sz w:val="20"/>
              </w:rPr>
              <w:t>The Nasdaq Stock Market LLC</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4" w:name="xdx_903_edei--EntityEmergingGrowthCompan"/>
      <w:bookmarkEnd w:id="24"/>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5" w:name="xdx_90A_edei--EntityExTransitionPeriod_c"/>
      <w:bookmarkEnd w:id="25"/>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Plan Amendment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Cingulate Inc. (the “Company”) 2026 Annual Meeting of Stockholders held on July 9, 2026 (the “Annual Meeting”), the Company’s stockholders approved Amendment No. 3 to the Cingulate Inc. 2021 Omnibus Equity Incentive Plan (the “Equity Plan”) to increase the number of shares of common stock authorized for issuance thereunder by 625,000 shares (the “Amendment”). The board of directors of the Company had previously approved the Amendment, subject to stockholder approval, and the Amendment became effective upon such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Amendment is included with this Form 8-K as Exhibit 10.1 and is incorporated herein by reference, and the foregoing summary is qualified in its entirety by reference to the terms and provisions of the Amendment.</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Board Structure</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the Annual Meeting, the Company’s Board of Directors (the “Board”) reduced the size of the Board to five (5) directors and appointed Shane Schaffer, the Company’s Chief Executive Officer, as the chairman of the Board. The Board appointed Jeff Hargroves as the lead independent director of the Board.</w:t>
      </w:r>
    </w:p>
    <w:p>
      <w:pPr>
        <w:pStyle w:val="TextBody"/>
        <w:bidi w:val="0"/>
        <w:spacing w:before="0" w:after="0"/>
        <w:ind w:left="0" w:right="0" w:firstLine="49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also appointed Zhanpeng “Frederick” Jiang as the chairman of the Audit Committee of the Board and Mr. Hargroves as the chairman of the Nominating and Corporate Governance Committee of the Board. Following the Annual Meeting: (i) the Audit Committee of the Board consists of Mr. Jiang , as chairman, Mr. Hargroves and Bryan Lawrence, (ii) the Nominating and Corporate Governance Committee of the Board consists of Mr. Hargroves, as chairman, Mr. Jiang and Mr. Lawrence and (iii) the Compensation Committee of the Board consists of Mr. Lawrence, as chairman, Mr. Hargroves and Mr. Jiang.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four proposals were submitted to the Company’s stockholders. The final voting results were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elected the following Class II director to serve for a term expiring at the 2029 annual meeting of stockholders and until his successor has been duly elected.</w:t>
      </w:r>
    </w:p>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28" w:type="dxa"/>
          <w:right w:w="0" w:type="dxa"/>
        </w:tblCellMar>
      </w:tblPr>
      <w:tblGrid>
        <w:gridCol w:w="1430"/>
        <w:gridCol w:w="60"/>
        <w:gridCol w:w="60"/>
        <w:gridCol w:w="980"/>
        <w:gridCol w:w="60"/>
        <w:gridCol w:w="60"/>
        <w:gridCol w:w="73"/>
        <w:gridCol w:w="833"/>
        <w:gridCol w:w="74"/>
        <w:gridCol w:w="60"/>
        <w:gridCol w:w="102"/>
        <w:gridCol w:w="1678"/>
        <w:gridCol w:w="128"/>
      </w:tblGrid>
      <w:tr>
        <w:trPr/>
        <w:tc>
          <w:tcPr>
            <w:tcW w:w="1430" w:type="dxa"/>
            <w:tcBorders>
              <w:bottom w:val="single" w:sz="8" w:space="0" w:color="000000"/>
            </w:tcBorders>
            <w:vAlign w:val="center"/>
          </w:tcPr>
          <w:p>
            <w:pPr>
              <w:pStyle w:val="TableContents"/>
              <w:bidi w:val="0"/>
              <w:spacing w:before="0" w:after="283"/>
              <w:jc w:val="center"/>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00" w:type="dxa"/>
            <w:gridSpan w:val="3"/>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980" w:type="dxa"/>
            <w:gridSpan w:val="3"/>
            <w:tcBorders>
              <w:bottom w:val="single" w:sz="8" w:space="0" w:color="000000"/>
            </w:tcBorders>
            <w:vAlign w:val="center"/>
          </w:tcPr>
          <w:p>
            <w:pPr>
              <w:pStyle w:val="TableContents"/>
              <w:bidi w:val="0"/>
              <w:spacing w:before="0" w:after="283"/>
              <w:jc w:val="center"/>
              <w:rPr>
                <w:b/>
              </w:rPr>
            </w:pPr>
            <w:r>
              <w:rPr>
                <w:b/>
              </w:rPr>
              <w:t>Withhold</w:t>
            </w:r>
          </w:p>
        </w:tc>
        <w:tc>
          <w:tcPr>
            <w:tcW w:w="60" w:type="dxa"/>
            <w:tcBorders/>
            <w:tcMar>
              <w:bottom w:w="0" w:type="dxa"/>
            </w:tcMar>
            <w:vAlign w:val="center"/>
          </w:tcPr>
          <w:p>
            <w:pPr>
              <w:pStyle w:val="TableContents"/>
              <w:bidi w:val="0"/>
              <w:spacing w:before="0" w:after="283"/>
              <w:jc w:val="left"/>
              <w:rPr/>
            </w:pPr>
            <w:r>
              <w:rPr/>
              <w:t> </w:t>
            </w:r>
          </w:p>
        </w:tc>
        <w:tc>
          <w:tcPr>
            <w:tcW w:w="1908" w:type="dxa"/>
            <w:gridSpan w:val="3"/>
            <w:tcBorders>
              <w:bottom w:val="single" w:sz="8" w:space="0" w:color="000000"/>
            </w:tcBorders>
            <w:vAlign w:val="center"/>
          </w:tcPr>
          <w:p>
            <w:pPr>
              <w:pStyle w:val="TableContents"/>
              <w:bidi w:val="0"/>
              <w:spacing w:before="0" w:after="283"/>
              <w:jc w:val="center"/>
              <w:rPr>
                <w:b/>
              </w:rPr>
            </w:pPr>
            <w:r>
              <w:rPr>
                <w:b/>
              </w:rPr>
              <w:t>Broker Non-Votes</w:t>
            </w:r>
          </w:p>
        </w:tc>
      </w:tr>
      <w:tr>
        <w:trPr/>
        <w:tc>
          <w:tcPr>
            <w:tcW w:w="1430" w:type="dxa"/>
            <w:tcBorders/>
            <w:shd w:fill="CCEEFF" w:val="clear"/>
            <w:tcMar>
              <w:bottom w:w="0" w:type="dxa"/>
            </w:tcMar>
            <w:vAlign w:val="center"/>
          </w:tcPr>
          <w:p>
            <w:pPr>
              <w:pStyle w:val="TableContents"/>
              <w:bidi w:val="0"/>
              <w:spacing w:before="0" w:after="283"/>
              <w:jc w:val="left"/>
              <w:rPr/>
            </w:pPr>
            <w:r>
              <w:rPr/>
              <w:t>Jeff Hargroves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3,563,369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3" w:type="dxa"/>
            <w:tcBorders/>
            <w:shd w:fill="CCEEFF" w:val="clear"/>
            <w:tcMar>
              <w:bottom w:w="0" w:type="dxa"/>
            </w:tcMar>
            <w:vAlign w:val="center"/>
          </w:tcPr>
          <w:p>
            <w:pPr>
              <w:pStyle w:val="TableContents"/>
              <w:bidi w:val="0"/>
              <w:spacing w:before="0" w:after="283"/>
              <w:jc w:val="left"/>
              <w:rPr/>
            </w:pPr>
            <w:r>
              <w:rPr/>
              <w:t> </w:t>
            </w:r>
          </w:p>
        </w:tc>
        <w:tc>
          <w:tcPr>
            <w:tcW w:w="833" w:type="dxa"/>
            <w:tcBorders/>
            <w:shd w:fill="CCEEFF" w:val="clear"/>
            <w:tcMar>
              <w:bottom w:w="0" w:type="dxa"/>
            </w:tcMar>
            <w:vAlign w:val="center"/>
          </w:tcPr>
          <w:p>
            <w:pPr>
              <w:pStyle w:val="TableContents"/>
              <w:bidi w:val="0"/>
              <w:spacing w:before="0" w:after="283"/>
              <w:jc w:val="center"/>
              <w:rPr/>
            </w:pPr>
            <w:r>
              <w:rPr/>
              <w:t>40,558</w:t>
            </w:r>
          </w:p>
        </w:tc>
        <w:tc>
          <w:tcPr>
            <w:tcW w:w="74"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olor w:val="262626"/>
              </w:rPr>
            </w:pPr>
            <w:r>
              <w:rPr>
                <w:color w:val="262626"/>
              </w:rPr>
              <w:t> </w:t>
            </w:r>
          </w:p>
        </w:tc>
        <w:tc>
          <w:tcPr>
            <w:tcW w:w="102" w:type="dxa"/>
            <w:tcBorders/>
            <w:shd w:fill="CCEEFF" w:val="clear"/>
            <w:tcMar>
              <w:bottom w:w="0" w:type="dxa"/>
            </w:tcMar>
            <w:vAlign w:val="center"/>
          </w:tcPr>
          <w:p>
            <w:pPr>
              <w:pStyle w:val="TableContents"/>
              <w:bidi w:val="0"/>
              <w:spacing w:before="0" w:after="283"/>
              <w:jc w:val="left"/>
              <w:rPr>
                <w:color w:val="262626"/>
              </w:rPr>
            </w:pPr>
            <w:r>
              <w:rPr>
                <w:color w:val="262626"/>
              </w:rPr>
              <w:t> </w:t>
            </w:r>
          </w:p>
        </w:tc>
        <w:tc>
          <w:tcPr>
            <w:tcW w:w="1678" w:type="dxa"/>
            <w:tcBorders/>
            <w:shd w:fill="CCEEFF" w:val="clear"/>
            <w:tcMar>
              <w:bottom w:w="0" w:type="dxa"/>
            </w:tcMar>
            <w:vAlign w:val="center"/>
          </w:tcPr>
          <w:p>
            <w:pPr>
              <w:pStyle w:val="TableContents"/>
              <w:bidi w:val="0"/>
              <w:spacing w:before="0" w:after="283"/>
              <w:jc w:val="center"/>
              <w:rPr>
                <w:color w:val="262626"/>
              </w:rPr>
            </w:pPr>
            <w:r>
              <w:rPr>
                <w:color w:val="262626"/>
              </w:rPr>
              <w:t>4,672,130</w:t>
            </w:r>
          </w:p>
        </w:tc>
        <w:tc>
          <w:tcPr>
            <w:tcW w:w="128" w:type="dxa"/>
            <w:tcBorders/>
            <w:shd w:fill="CCEEFF" w:val="clear"/>
            <w:tcMar>
              <w:bottom w:w="0" w:type="dxa"/>
            </w:tcMar>
            <w:vAlign w:val="center"/>
          </w:tcPr>
          <w:p>
            <w:pPr>
              <w:pStyle w:val="TableContents"/>
              <w:bidi w:val="0"/>
              <w:spacing w:before="0" w:after="283"/>
              <w:jc w:val="left"/>
              <w:rPr>
                <w:color w:val="262626"/>
              </w:rPr>
            </w:pPr>
            <w:r>
              <w:rPr>
                <w:color w:val="262626"/>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approved the ratification of the appointment of KPMG LLP as the Company’s independent registered public accounting firm for the year ending December 31, 2026.</w:t>
      </w:r>
    </w:p>
    <w:p>
      <w:pPr>
        <w:pStyle w:val="TextBody"/>
        <w:bidi w:val="0"/>
        <w:spacing w:before="0" w:after="0"/>
        <w:ind w:left="0" w:right="0" w:hanging="0"/>
        <w:jc w:val="left"/>
        <w:rPr>
          <w:caps w:val="false"/>
          <w:smallCaps w:val="false"/>
        </w:rPr>
      </w:pPr>
      <w:r>
        <w:rPr>
          <w:caps w:val="false"/>
          <w:smallCaps w:val="false"/>
        </w:rPr>
        <w:t> </w:t>
      </w:r>
    </w:p>
    <w:tbl>
      <w:tblPr>
        <w:tblW w:w="4939" w:type="dxa"/>
        <w:jc w:val="left"/>
        <w:tblInd w:w="0" w:type="dxa"/>
        <w:tblLayout w:type="fixed"/>
        <w:tblCellMar>
          <w:top w:w="0" w:type="dxa"/>
          <w:left w:w="0" w:type="dxa"/>
          <w:bottom w:w="28" w:type="dxa"/>
          <w:right w:w="0" w:type="dxa"/>
        </w:tblCellMar>
      </w:tblPr>
      <w:tblGrid>
        <w:gridCol w:w="75"/>
        <w:gridCol w:w="980"/>
        <w:gridCol w:w="60"/>
        <w:gridCol w:w="60"/>
        <w:gridCol w:w="60"/>
        <w:gridCol w:w="800"/>
        <w:gridCol w:w="60"/>
        <w:gridCol w:w="60"/>
        <w:gridCol w:w="61"/>
        <w:gridCol w:w="692"/>
        <w:gridCol w:w="62"/>
        <w:gridCol w:w="60"/>
        <w:gridCol w:w="416"/>
        <w:gridCol w:w="971"/>
        <w:gridCol w:w="522"/>
      </w:tblGrid>
      <w:tr>
        <w:trPr/>
        <w:tc>
          <w:tcPr>
            <w:tcW w:w="1115" w:type="dxa"/>
            <w:gridSpan w:val="3"/>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gridSpan w:val="3"/>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09" w:type="dxa"/>
            <w:gridSpan w:val="3"/>
            <w:tcBorders>
              <w:bottom w:val="single" w:sz="8" w:space="0" w:color="000000"/>
            </w:tcBorders>
            <w:vAlign w:val="center"/>
          </w:tcPr>
          <w:p>
            <w:pPr>
              <w:pStyle w:val="TableContents"/>
              <w:bidi w:val="0"/>
              <w:spacing w:before="0" w:after="283"/>
              <w:jc w:val="center"/>
              <w:rPr>
                <w:b/>
              </w:rPr>
            </w:pPr>
            <w:r>
              <w:rPr>
                <w:b/>
              </w:rPr>
              <w:t>Broker Non-Votes</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8,153,858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100,881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center"/>
              <w:rPr/>
            </w:pPr>
            <w:r>
              <w:rPr/>
              <w:t>21,318</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center"/>
              <w:rPr/>
            </w:pPr>
            <w:r>
              <w:rPr/>
              <w:t>0</w:t>
            </w:r>
          </w:p>
        </w:tc>
        <w:tc>
          <w:tcPr>
            <w:tcW w:w="52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approved the Amendment to the Equity Plan to increase the number of shares of common stock authorized for issuance thereunder by 625,000 shares to 2,221,126 shares.</w:t>
      </w:r>
    </w:p>
    <w:p>
      <w:pPr>
        <w:pStyle w:val="TextBody"/>
        <w:bidi w:val="0"/>
        <w:spacing w:before="0" w:after="0"/>
        <w:ind w:left="0" w:right="0" w:hanging="0"/>
        <w:jc w:val="left"/>
        <w:rPr>
          <w:caps w:val="false"/>
          <w:smallCaps w:val="false"/>
        </w:rPr>
      </w:pPr>
      <w:r>
        <w:rPr>
          <w:caps w:val="false"/>
          <w:smallCaps w:val="false"/>
        </w:rPr>
        <w:t> </w:t>
      </w:r>
    </w:p>
    <w:tbl>
      <w:tblPr>
        <w:tblW w:w="4938" w:type="dxa"/>
        <w:jc w:val="left"/>
        <w:tblInd w:w="0" w:type="dxa"/>
        <w:tblLayout w:type="fixed"/>
        <w:tblCellMar>
          <w:top w:w="0" w:type="dxa"/>
          <w:left w:w="0" w:type="dxa"/>
          <w:bottom w:w="28" w:type="dxa"/>
          <w:right w:w="0" w:type="dxa"/>
        </w:tblCellMar>
      </w:tblPr>
      <w:tblGrid>
        <w:gridCol w:w="75"/>
        <w:gridCol w:w="980"/>
        <w:gridCol w:w="60"/>
        <w:gridCol w:w="60"/>
        <w:gridCol w:w="60"/>
        <w:gridCol w:w="800"/>
        <w:gridCol w:w="60"/>
        <w:gridCol w:w="60"/>
        <w:gridCol w:w="61"/>
        <w:gridCol w:w="692"/>
        <w:gridCol w:w="62"/>
        <w:gridCol w:w="60"/>
        <w:gridCol w:w="102"/>
        <w:gridCol w:w="1678"/>
        <w:gridCol w:w="128"/>
      </w:tblGrid>
      <w:tr>
        <w:trPr/>
        <w:tc>
          <w:tcPr>
            <w:tcW w:w="1115" w:type="dxa"/>
            <w:gridSpan w:val="3"/>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gridSpan w:val="3"/>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08" w:type="dxa"/>
            <w:gridSpan w:val="3"/>
            <w:tcBorders>
              <w:bottom w:val="single" w:sz="8" w:space="0" w:color="000000"/>
            </w:tcBorders>
            <w:vAlign w:val="center"/>
          </w:tcPr>
          <w:p>
            <w:pPr>
              <w:pStyle w:val="TableContents"/>
              <w:bidi w:val="0"/>
              <w:spacing w:before="0" w:after="283"/>
              <w:jc w:val="center"/>
              <w:rPr>
                <w:b/>
              </w:rPr>
            </w:pPr>
            <w:r>
              <w:rPr>
                <w:b/>
              </w:rPr>
              <w:t>Broker Non-Votes</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3,196,215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372,123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center"/>
              <w:rPr/>
            </w:pPr>
            <w:r>
              <w:rPr/>
              <w:t>35,589</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color w:val="262626"/>
              </w:rPr>
            </w:pPr>
            <w:r>
              <w:rPr>
                <w:color w:val="262626"/>
              </w:rPr>
              <w:t> </w:t>
            </w:r>
          </w:p>
        </w:tc>
        <w:tc>
          <w:tcPr>
            <w:tcW w:w="102" w:type="dxa"/>
            <w:tcBorders/>
            <w:shd w:fill="CCEEFF" w:val="clear"/>
            <w:tcMar>
              <w:bottom w:w="0" w:type="dxa"/>
            </w:tcMar>
            <w:vAlign w:val="center"/>
          </w:tcPr>
          <w:p>
            <w:pPr>
              <w:pStyle w:val="TableContents"/>
              <w:bidi w:val="0"/>
              <w:spacing w:before="0" w:after="283"/>
              <w:jc w:val="left"/>
              <w:rPr>
                <w:color w:val="262626"/>
              </w:rPr>
            </w:pPr>
            <w:r>
              <w:rPr>
                <w:color w:val="262626"/>
              </w:rPr>
              <w:t> </w:t>
            </w:r>
          </w:p>
        </w:tc>
        <w:tc>
          <w:tcPr>
            <w:tcW w:w="1678" w:type="dxa"/>
            <w:tcBorders/>
            <w:shd w:fill="CCEEFF" w:val="clear"/>
            <w:tcMar>
              <w:bottom w:w="0" w:type="dxa"/>
            </w:tcMar>
            <w:vAlign w:val="center"/>
          </w:tcPr>
          <w:p>
            <w:pPr>
              <w:pStyle w:val="TableContents"/>
              <w:bidi w:val="0"/>
              <w:spacing w:before="0" w:after="283"/>
              <w:jc w:val="center"/>
              <w:rPr>
                <w:color w:val="262626"/>
              </w:rPr>
            </w:pPr>
            <w:r>
              <w:rPr>
                <w:color w:val="262626"/>
              </w:rPr>
              <w:t>4,672,130</w:t>
            </w:r>
          </w:p>
        </w:tc>
        <w:tc>
          <w:tcPr>
            <w:tcW w:w="128" w:type="dxa"/>
            <w:tcBorders/>
            <w:shd w:fill="CCEEFF" w:val="clear"/>
            <w:tcMar>
              <w:bottom w:w="0" w:type="dxa"/>
            </w:tcMar>
            <w:vAlign w:val="center"/>
          </w:tcPr>
          <w:p>
            <w:pPr>
              <w:pStyle w:val="TableContents"/>
              <w:bidi w:val="0"/>
              <w:spacing w:before="0" w:after="283"/>
              <w:jc w:val="left"/>
              <w:rPr>
                <w:color w:val="262626"/>
              </w:rPr>
            </w:pPr>
            <w:r>
              <w:rPr>
                <w:color w:val="262626"/>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Proposal 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stockholders approved the adjournment of the Annual Meeting to a later date or dates, if necessary or appropriate, to permit further solicitation and vote of proxies in the event that there are insufficient votes for, or otherwise in connection with, the approval of one or more of foregoing proposals. Adjournment of the Annual Meeting was deemed not necessary, because there were sufficient votes at the time of the Annual Meeting to approve each proposal.</w:t>
      </w:r>
    </w:p>
    <w:p>
      <w:pPr>
        <w:pStyle w:val="TextBody"/>
        <w:bidi w:val="0"/>
        <w:spacing w:before="0" w:after="0"/>
        <w:ind w:left="0" w:right="0" w:hanging="0"/>
        <w:jc w:val="left"/>
        <w:rPr>
          <w:caps w:val="false"/>
          <w:smallCaps w:val="false"/>
        </w:rPr>
      </w:pPr>
      <w:r>
        <w:rPr>
          <w:caps w:val="false"/>
          <w:smallCaps w:val="false"/>
        </w:rPr>
        <w:t> </w:t>
      </w:r>
    </w:p>
    <w:tbl>
      <w:tblPr>
        <w:tblW w:w="4939" w:type="dxa"/>
        <w:jc w:val="left"/>
        <w:tblInd w:w="0" w:type="dxa"/>
        <w:tblLayout w:type="fixed"/>
        <w:tblCellMar>
          <w:top w:w="0" w:type="dxa"/>
          <w:left w:w="0" w:type="dxa"/>
          <w:bottom w:w="28" w:type="dxa"/>
          <w:right w:w="0" w:type="dxa"/>
        </w:tblCellMar>
      </w:tblPr>
      <w:tblGrid>
        <w:gridCol w:w="75"/>
        <w:gridCol w:w="980"/>
        <w:gridCol w:w="60"/>
        <w:gridCol w:w="60"/>
        <w:gridCol w:w="60"/>
        <w:gridCol w:w="800"/>
        <w:gridCol w:w="60"/>
        <w:gridCol w:w="60"/>
        <w:gridCol w:w="61"/>
        <w:gridCol w:w="692"/>
        <w:gridCol w:w="62"/>
        <w:gridCol w:w="60"/>
        <w:gridCol w:w="416"/>
        <w:gridCol w:w="971"/>
        <w:gridCol w:w="522"/>
      </w:tblGrid>
      <w:tr>
        <w:trPr/>
        <w:tc>
          <w:tcPr>
            <w:tcW w:w="1115" w:type="dxa"/>
            <w:gridSpan w:val="3"/>
            <w:tcBorders>
              <w:bottom w:val="single" w:sz="8" w:space="0" w:color="000000"/>
            </w:tcBorders>
            <w:vAlign w:val="center"/>
          </w:tcPr>
          <w:p>
            <w:pPr>
              <w:pStyle w:val="TableContents"/>
              <w:bidi w:val="0"/>
              <w:spacing w:before="0" w:after="283"/>
              <w:jc w:val="center"/>
              <w:rPr>
                <w:b/>
              </w:rPr>
            </w:pPr>
            <w:r>
              <w:rPr>
                <w:b/>
              </w:rPr>
              <w:t>For</w:t>
            </w:r>
          </w:p>
        </w:tc>
        <w:tc>
          <w:tcPr>
            <w:tcW w:w="60" w:type="dxa"/>
            <w:tcBorders/>
            <w:tcMar>
              <w:bottom w:w="0" w:type="dxa"/>
            </w:tcMar>
            <w:vAlign w:val="center"/>
          </w:tcPr>
          <w:p>
            <w:pPr>
              <w:pStyle w:val="TableContents"/>
              <w:bidi w:val="0"/>
              <w:spacing w:before="0" w:after="283"/>
              <w:jc w:val="left"/>
              <w:rPr/>
            </w:pPr>
            <w:r>
              <w:rPr/>
              <w:t> </w:t>
            </w:r>
          </w:p>
        </w:tc>
        <w:tc>
          <w:tcPr>
            <w:tcW w:w="920" w:type="dxa"/>
            <w:gridSpan w:val="3"/>
            <w:tcBorders>
              <w:bottom w:val="single" w:sz="8" w:space="0" w:color="000000"/>
            </w:tcBorders>
            <w:vAlign w:val="center"/>
          </w:tcPr>
          <w:p>
            <w:pPr>
              <w:pStyle w:val="TableContents"/>
              <w:bidi w:val="0"/>
              <w:spacing w:before="0" w:after="283"/>
              <w:jc w:val="center"/>
              <w:rPr>
                <w:b/>
              </w:rPr>
            </w:pPr>
            <w:r>
              <w:rPr>
                <w:b/>
              </w:rPr>
              <w:t>Against</w:t>
            </w:r>
          </w:p>
        </w:tc>
        <w:tc>
          <w:tcPr>
            <w:tcW w:w="60" w:type="dxa"/>
            <w:tcBorders/>
            <w:tcMar>
              <w:bottom w:w="0" w:type="dxa"/>
            </w:tcMar>
            <w:vAlign w:val="center"/>
          </w:tcPr>
          <w:p>
            <w:pPr>
              <w:pStyle w:val="TableContents"/>
              <w:bidi w:val="0"/>
              <w:spacing w:before="0" w:after="283"/>
              <w:jc w:val="left"/>
              <w:rPr/>
            </w:pPr>
            <w:r>
              <w:rPr/>
              <w:t> </w:t>
            </w:r>
          </w:p>
        </w:tc>
        <w:tc>
          <w:tcPr>
            <w:tcW w:w="815" w:type="dxa"/>
            <w:gridSpan w:val="3"/>
            <w:tcBorders>
              <w:bottom w:val="single" w:sz="8" w:space="0" w:color="000000"/>
            </w:tcBorders>
            <w:vAlign w:val="center"/>
          </w:tcPr>
          <w:p>
            <w:pPr>
              <w:pStyle w:val="TableContents"/>
              <w:bidi w:val="0"/>
              <w:spacing w:before="0" w:after="283"/>
              <w:jc w:val="center"/>
              <w:rPr>
                <w:b/>
              </w:rPr>
            </w:pPr>
            <w:r>
              <w:rPr>
                <w:b/>
              </w:rPr>
              <w:t>Abstain</w:t>
            </w:r>
          </w:p>
        </w:tc>
        <w:tc>
          <w:tcPr>
            <w:tcW w:w="60" w:type="dxa"/>
            <w:tcBorders/>
            <w:tcMar>
              <w:bottom w:w="0" w:type="dxa"/>
            </w:tcMar>
            <w:vAlign w:val="center"/>
          </w:tcPr>
          <w:p>
            <w:pPr>
              <w:pStyle w:val="TableContents"/>
              <w:bidi w:val="0"/>
              <w:spacing w:before="0" w:after="283"/>
              <w:jc w:val="left"/>
              <w:rPr/>
            </w:pPr>
            <w:r>
              <w:rPr/>
              <w:t> </w:t>
            </w:r>
          </w:p>
        </w:tc>
        <w:tc>
          <w:tcPr>
            <w:tcW w:w="1909" w:type="dxa"/>
            <w:gridSpan w:val="3"/>
            <w:tcBorders>
              <w:bottom w:val="single" w:sz="8" w:space="0" w:color="000000"/>
            </w:tcBorders>
            <w:vAlign w:val="center"/>
          </w:tcPr>
          <w:p>
            <w:pPr>
              <w:pStyle w:val="TableContents"/>
              <w:bidi w:val="0"/>
              <w:spacing w:before="0" w:after="283"/>
              <w:jc w:val="center"/>
              <w:rPr>
                <w:b/>
              </w:rPr>
            </w:pPr>
            <w:r>
              <w:rPr>
                <w:b/>
              </w:rPr>
              <w:t>Broker Non-Votes</w:t>
            </w:r>
          </w:p>
        </w:tc>
      </w:tr>
      <w:tr>
        <w:trPr/>
        <w:tc>
          <w:tcPr>
            <w:tcW w:w="75"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center"/>
              <w:rPr/>
            </w:pPr>
            <w:r>
              <w:rPr/>
              <w:t>7,563,297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center"/>
              <w:rPr/>
            </w:pPr>
            <w:r>
              <w:rPr/>
              <w:t>663,663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1" w:type="dxa"/>
            <w:tcBorders/>
            <w:shd w:fill="CCEEFF" w:val="clear"/>
            <w:tcMar>
              <w:bottom w:w="0" w:type="dxa"/>
            </w:tcMar>
            <w:vAlign w:val="center"/>
          </w:tcPr>
          <w:p>
            <w:pPr>
              <w:pStyle w:val="TableContents"/>
              <w:bidi w:val="0"/>
              <w:spacing w:before="0" w:after="283"/>
              <w:jc w:val="left"/>
              <w:rPr/>
            </w:pPr>
            <w:r>
              <w:rPr/>
              <w:t> </w:t>
            </w:r>
          </w:p>
        </w:tc>
        <w:tc>
          <w:tcPr>
            <w:tcW w:w="692" w:type="dxa"/>
            <w:tcBorders/>
            <w:shd w:fill="CCEEFF" w:val="clear"/>
            <w:tcMar>
              <w:bottom w:w="0" w:type="dxa"/>
            </w:tcMar>
            <w:vAlign w:val="center"/>
          </w:tcPr>
          <w:p>
            <w:pPr>
              <w:pStyle w:val="TableContents"/>
              <w:bidi w:val="0"/>
              <w:spacing w:before="0" w:after="283"/>
              <w:jc w:val="center"/>
              <w:rPr/>
            </w:pPr>
            <w:r>
              <w:rPr/>
              <w:t>49,097</w:t>
            </w:r>
          </w:p>
        </w:tc>
        <w:tc>
          <w:tcPr>
            <w:tcW w:w="62"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16" w:type="dxa"/>
            <w:tcBorders/>
            <w:shd w:fill="CCEEFF" w:val="clear"/>
            <w:tcMar>
              <w:bottom w:w="0" w:type="dxa"/>
            </w:tcMar>
            <w:vAlign w:val="center"/>
          </w:tcPr>
          <w:p>
            <w:pPr>
              <w:pStyle w:val="TableContents"/>
              <w:bidi w:val="0"/>
              <w:spacing w:before="0" w:after="283"/>
              <w:jc w:val="left"/>
              <w:rPr/>
            </w:pPr>
            <w:r>
              <w:rPr/>
              <w:t> </w:t>
            </w:r>
          </w:p>
        </w:tc>
        <w:tc>
          <w:tcPr>
            <w:tcW w:w="971" w:type="dxa"/>
            <w:tcBorders/>
            <w:shd w:fill="CCEEFF" w:val="clear"/>
            <w:tcMar>
              <w:bottom w:w="0" w:type="dxa"/>
            </w:tcMar>
            <w:vAlign w:val="center"/>
          </w:tcPr>
          <w:p>
            <w:pPr>
              <w:pStyle w:val="TableContents"/>
              <w:bidi w:val="0"/>
              <w:spacing w:before="0" w:after="283"/>
              <w:jc w:val="center"/>
              <w:rPr/>
            </w:pPr>
            <w:r>
              <w:rPr/>
              <w:t>0</w:t>
            </w:r>
          </w:p>
        </w:tc>
        <w:tc>
          <w:tcPr>
            <w:tcW w:w="522"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525" w:type="dxa"/>
        <w:jc w:val="left"/>
        <w:tblInd w:w="0" w:type="dxa"/>
        <w:tblLayout w:type="fixed"/>
        <w:tblCellMar>
          <w:top w:w="0" w:type="dxa"/>
          <w:left w:w="0" w:type="dxa"/>
          <w:bottom w:w="28" w:type="dxa"/>
          <w:right w:w="0" w:type="dxa"/>
        </w:tblCellMar>
      </w:tblPr>
      <w:tblGrid>
        <w:gridCol w:w="980"/>
        <w:gridCol w:w="60"/>
        <w:gridCol w:w="6485"/>
      </w:tblGrid>
      <w:tr>
        <w:trPr/>
        <w:tc>
          <w:tcPr>
            <w:tcW w:w="980"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bottom w:val="single" w:sz="8" w:space="0" w:color="000000"/>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w:t>
            </w:r>
          </w:p>
        </w:tc>
      </w:tr>
      <w:tr>
        <w:trPr/>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pPr>
            <w:hyperlink w:anchor="ex10-1.htm">
              <w:r>
                <w:rPr>
                  <w:rStyle w:val="InternetLink"/>
                  <w:rFonts w:ascii="Times New Roman;Times;Serif" w:hAnsi="Times New Roman;Times;Serif"/>
                  <w:b w:val="false"/>
                  <w:i w:val="false"/>
                  <w:caps w:val="false"/>
                  <w:smallCaps w:val="false"/>
                  <w:sz w:val="20"/>
                </w:rPr>
                <w:t>Amendment No. 3 to the Cingulate Inc. 2021 Omnibus Equity Incentive Plan</w:t>
              </w:r>
            </w:hyperlink>
          </w:p>
        </w:tc>
      </w:tr>
      <w:tr>
        <w:trPr/>
        <w:tc>
          <w:tcPr>
            <w:tcW w:w="98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r>
      <w:tr>
        <w:trPr/>
        <w:tc>
          <w:tcPr>
            <w:tcW w:w="98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85"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1730"/>
        <w:gridCol w:w="575"/>
        <w:gridCol w:w="1955"/>
      </w:tblGrid>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25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3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July 14, 2026</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173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bookmarkStart w:id="26" w:name="ex10-1.htm"/>
      <w:bookmarkStart w:id="27" w:name="ksex101"/>
      <w:bookmarkEnd w:id="26"/>
      <w:bookmarkEnd w:id="27"/>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No. 3 TO THE CINGULATE INC. 2021 OMNIBUS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third Amendment (the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to the Cingulate Inc. 2021 Omnibus Equity Incentive Plan, as amended (the “</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of Cingulate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is made as of May 18, 2026. All capitalized terms used but not defined in this Amendment shall have the meanings assigned to such terms in the Plan.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Section 17.2 of the Plan reserves to the Board of Directors of the Company (the “</w:t>
      </w:r>
      <w:r>
        <w:rPr>
          <w:rFonts w:ascii="Times New Roman;Times;Serif" w:hAnsi="Times New Roman;Times;Serif"/>
          <w:b w:val="false"/>
          <w:i w:val="false"/>
          <w:caps w:val="false"/>
          <w:smallCaps w:val="false"/>
          <w:sz w:val="20"/>
          <w:u w:val="single"/>
        </w:rPr>
        <w:t>Board</w:t>
      </w:r>
      <w:r>
        <w:rPr>
          <w:rFonts w:ascii="Times New Roman;Times;Serif" w:hAnsi="Times New Roman;Times;Serif"/>
          <w:b w:val="false"/>
          <w:i w:val="false"/>
          <w:caps w:val="false"/>
          <w:smallCaps w:val="false"/>
          <w:sz w:val="20"/>
        </w:rPr>
        <w:t>”) the right to amend the Plan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the Board desires to increase the number of shares of Common Stock reserved for issuance under the Plan from 1,596,126 </w:t>
      </w:r>
      <w:r>
        <w:rPr>
          <w:rFonts w:ascii="Times New Roman;Times;Serif" w:hAnsi="Times New Roman;Times;Serif"/>
          <w:b w:val="false"/>
          <w:i w:val="false"/>
          <w:caps w:val="false"/>
          <w:smallCaps w:val="false"/>
          <w:color w:val="212121"/>
          <w:sz w:val="20"/>
        </w:rPr>
        <w:t xml:space="preserve">shares to </w:t>
      </w:r>
      <w:r>
        <w:rPr>
          <w:rFonts w:ascii="Times New Roman;Times;Serif" w:hAnsi="Times New Roman;Times;Serif"/>
          <w:b w:val="false"/>
          <w:i w:val="false"/>
          <w:caps w:val="false"/>
          <w:smallCaps w:val="false"/>
          <w:sz w:val="20"/>
        </w:rPr>
        <w:t>2,221,126 shares, subject to approval by the Company’s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THEREFORE</w:t>
      </w:r>
      <w:r>
        <w:rPr>
          <w:rFonts w:ascii="Times New Roman;Times;Serif" w:hAnsi="Times New Roman;Times;Serif"/>
          <w:b w:val="false"/>
          <w:i w:val="false"/>
          <w:caps w:val="false"/>
          <w:smallCaps w:val="false"/>
          <w:sz w:val="20"/>
        </w:rPr>
        <w:t>, be it effective as of the date of approval by the Company’s stockholders, the Plan is hereby amended as follows:</w:t>
      </w:r>
    </w:p>
    <w:p>
      <w:pPr>
        <w:pStyle w:val="TextBody"/>
        <w:bidi w:val="0"/>
        <w:spacing w:before="0" w:after="0"/>
        <w:ind w:left="0" w:right="0" w:firstLine="720"/>
        <w:jc w:val="both"/>
        <w:rPr>
          <w:caps w:val="false"/>
          <w:smallCaps w:val="false"/>
        </w:rPr>
      </w:pPr>
      <w:r>
        <w:rPr>
          <w:caps w:val="false"/>
          <w:smallCaps w:val="false"/>
        </w:rPr>
        <w:t> </w:t>
      </w:r>
    </w:p>
    <w:tbl>
      <w:tblPr>
        <w:tblW w:w="9828" w:type="dxa"/>
        <w:jc w:val="left"/>
        <w:tblInd w:w="0" w:type="dxa"/>
        <w:tblLayout w:type="fixed"/>
        <w:tblCellMar>
          <w:top w:w="0" w:type="dxa"/>
          <w:left w:w="0" w:type="dxa"/>
          <w:bottom w:w="0" w:type="dxa"/>
          <w:right w:w="0" w:type="dxa"/>
        </w:tblCellMar>
      </w:tblPr>
      <w:tblGrid>
        <w:gridCol w:w="38"/>
        <w:gridCol w:w="170"/>
        <w:gridCol w:w="96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6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Amendment to Section 4.1</w:t>
            </w:r>
            <w:r>
              <w:rPr>
                <w:rFonts w:ascii="Times New Roman;Times;Serif" w:hAnsi="Times New Roman;Times;Serif"/>
                <w:b w:val="false"/>
                <w:i w:val="false"/>
                <w:caps w:val="false"/>
                <w:smallCaps w:val="false"/>
                <w:sz w:val="20"/>
              </w:rPr>
              <w:t>. Section 4.1(a) of the Plan is hereby amended and restated in its entirety, to read as follows: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0"/>
        <w:gridCol w:w="99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Subject to adjustment pursuant to </w:t>
            </w:r>
            <w:r>
              <w:rPr>
                <w:rFonts w:ascii="Times New Roman;Times;Serif" w:hAnsi="Times New Roman;Times;Serif"/>
                <w:b w:val="false"/>
                <w:i w:val="false"/>
                <w:caps w:val="false"/>
                <w:smallCaps w:val="false"/>
                <w:sz w:val="20"/>
                <w:u w:val="single"/>
              </w:rPr>
              <w:t>Section 4.3</w:t>
            </w:r>
            <w:r>
              <w:rPr>
                <w:rFonts w:ascii="Times New Roman;Times;Serif" w:hAnsi="Times New Roman;Times;Serif"/>
                <w:b w:val="false"/>
                <w:i w:val="false"/>
                <w:caps w:val="false"/>
                <w:smallCaps w:val="false"/>
                <w:sz w:val="20"/>
              </w:rPr>
              <w:t xml:space="preserve"> and any other applicable provisions hereof, the maximum aggregate number of shares of Common Stock, which may be issued under all Awards granted to Participants under the Plan, shall be 2,221,126 shares; all of which may, but need not, be issued in respect of Incentive Stock Options.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5"/>
        <w:gridCol w:w="10022"/>
      </w:tblGrid>
      <w:tr>
        <w:trPr/>
        <w:tc>
          <w:tcPr>
            <w:tcW w:w="38"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1002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shall be subject to approval by the stockholders of the Company within 12 months after the date this Amendment is adopted. Such stockholder approval shall be obtained in the manner and to the degree required under applicable laws.</w:t>
            </w:r>
          </w:p>
        </w:tc>
      </w:tr>
    </w:tbl>
    <w:p>
      <w:pPr>
        <w:pStyle w:val="TextBody"/>
        <w:bidi w:val="0"/>
        <w:spacing w:before="0" w:after="0"/>
        <w:ind w:left="1080" w:right="0" w:hanging="0"/>
        <w:jc w:val="both"/>
        <w:rPr>
          <w:caps w:val="false"/>
          <w:smallCaps w:val="false"/>
        </w:rPr>
      </w:pPr>
      <w:r>
        <w:rPr>
          <w:caps w:val="false"/>
          <w:smallCaps w:val="false"/>
        </w:rPr>
        <w:t> </w:t>
      </w:r>
    </w:p>
    <w:tbl>
      <w:tblPr>
        <w:tblW w:w="7713" w:type="dxa"/>
        <w:jc w:val="left"/>
        <w:tblInd w:w="0" w:type="dxa"/>
        <w:tblLayout w:type="fixed"/>
        <w:tblCellMar>
          <w:top w:w="0" w:type="dxa"/>
          <w:left w:w="0" w:type="dxa"/>
          <w:bottom w:w="0" w:type="dxa"/>
          <w:right w:w="0" w:type="dxa"/>
        </w:tblCellMar>
      </w:tblPr>
      <w:tblGrid>
        <w:gridCol w:w="38"/>
        <w:gridCol w:w="170"/>
        <w:gridCol w:w="750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75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set forth herein, the Plan shall remain in full force and effect without modification.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undersigned officer hereby certifies that the foregoing amendment to the Plan was duly adopted and approved by the Board.</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290" w:type="dxa"/>
        <w:jc w:val="left"/>
        <w:tblInd w:w="0" w:type="dxa"/>
        <w:tblLayout w:type="fixed"/>
        <w:tblCellMar>
          <w:top w:w="0" w:type="dxa"/>
          <w:left w:w="0" w:type="dxa"/>
          <w:bottom w:w="0" w:type="dxa"/>
          <w:right w:w="0" w:type="dxa"/>
        </w:tblCellMar>
      </w:tblPr>
      <w:tblGrid>
        <w:gridCol w:w="1760"/>
        <w:gridCol w:w="575"/>
        <w:gridCol w:w="1955"/>
      </w:tblGrid>
      <w:tr>
        <w:trPr/>
        <w:tc>
          <w:tcPr>
            <w:tcW w:w="176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May 18, 2026</w:t>
            </w:r>
          </w:p>
        </w:tc>
        <w:tc>
          <w:tcPr>
            <w:tcW w:w="253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CINGULATE INC.</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caps w:val="false"/>
                <w:smallCaps w:val="false"/>
              </w:rPr>
            </w:pPr>
            <w:r>
              <w:rPr>
                <w:caps w:val="false"/>
                <w:smallCaps w:val="false"/>
              </w:rPr>
              <w:t> </w:t>
            </w:r>
          </w:p>
        </w:tc>
        <w:tc>
          <w:tcPr>
            <w:tcW w:w="195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253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Shane J. Schaffer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Shane J. Schaffer</w:t>
            </w:r>
          </w:p>
        </w:tc>
      </w:tr>
      <w:tr>
        <w:trPr/>
        <w:tc>
          <w:tcPr>
            <w:tcW w:w="1760" w:type="dxa"/>
            <w:tcBorders/>
            <w:vAlign w:val="center"/>
          </w:tcPr>
          <w:p>
            <w:pPr>
              <w:pStyle w:val="TableContents"/>
              <w:bidi w:val="0"/>
              <w:spacing w:before="0" w:after="283"/>
              <w:jc w:val="left"/>
              <w:rPr>
                <w:caps w:val="false"/>
                <w:smallCaps w:val="false"/>
              </w:rPr>
            </w:pPr>
            <w:r>
              <w:rPr>
                <w:caps w:val="false"/>
                <w:smallCaps w:val="false"/>
              </w:rPr>
              <w:t> </w:t>
            </w:r>
          </w:p>
        </w:tc>
        <w:tc>
          <w:tcPr>
            <w:tcW w:w="5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1270</Words>
  <Characters>6766</Characters>
  <CharactersWithSpaces>8072</CharactersWithSpaces>
  <Paragraphs>311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