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361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36194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Hargroves Thomas Jeffrey</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540" w:type="dxa"/>
            <w:vAlign w:val="bottom"/>
            <w:tcBorders>
              <w:top w:val="single" w:sz="8" w:color="0000EE"/>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02/13/2026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Cingulate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CING</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1040" w:type="dxa"/>
            <w:vAlign w:val="bottom"/>
          </w:tcPr>
          <w:p>
            <w:pPr>
              <w:ind w:left="120"/>
              <w:spacing w:after="0"/>
              <w:rPr>
                <w:sz w:val="20"/>
                <w:szCs w:val="20"/>
                <w:color w:val="auto"/>
              </w:rPr>
            </w:pPr>
            <w:r>
              <w:rPr>
                <w:rFonts w:ascii="Arial" w:cs="Arial" w:eastAsia="Arial" w:hAnsi="Arial"/>
                <w:sz w:val="15"/>
                <w:szCs w:val="15"/>
                <w:color w:val="auto"/>
              </w:rPr>
              <w:t>(First)</w:t>
            </w:r>
          </w:p>
        </w:tc>
        <w:tc>
          <w:tcPr>
            <w:tcW w:w="1120" w:type="dxa"/>
            <w:vAlign w:val="bottom"/>
          </w:tcPr>
          <w:p>
            <w:pPr>
              <w:ind w:left="12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1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1901 W. 47TH PLACE</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4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KANSAS</w:t>
            </w:r>
          </w:p>
        </w:tc>
        <w:tc>
          <w:tcPr>
            <w:tcW w:w="10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0000FF"/>
              </w:rPr>
              <w:t>KS</w:t>
            </w: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0000FF"/>
              </w:rPr>
              <w:t>66205</w:t>
            </w:r>
          </w:p>
        </w:tc>
        <w:tc>
          <w:tcPr>
            <w:tcW w:w="0" w:type="dxa"/>
            <w:vAlign w:val="bottom"/>
          </w:tcPr>
          <w:p>
            <w:pPr>
              <w:spacing w:after="0"/>
              <w:rPr>
                <w:sz w:val="1"/>
                <w:szCs w:val="1"/>
                <w:color w:val="auto"/>
              </w:rPr>
            </w:pPr>
          </w:p>
        </w:tc>
      </w:tr>
      <w:tr>
        <w:trPr>
          <w:trHeight w:val="134"/>
        </w:trPr>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CITY</w:t>
            </w:r>
          </w:p>
        </w:tc>
        <w:tc>
          <w:tcPr>
            <w:tcW w:w="10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20" w:type="dxa"/>
            <w:vAlign w:val="bottom"/>
          </w:tcPr>
          <w:p>
            <w:pPr>
              <w:ind w:left="40"/>
              <w:spacing w:after="0"/>
              <w:rPr>
                <w:sz w:val="20"/>
                <w:szCs w:val="20"/>
                <w:color w:val="auto"/>
              </w:rPr>
            </w:pPr>
            <w:r>
              <w:rPr>
                <w:rFonts w:ascii="Arial" w:cs="Arial" w:eastAsia="Arial" w:hAnsi="Arial"/>
                <w:sz w:val="15"/>
                <w:szCs w:val="15"/>
                <w:b w:val="1"/>
                <w:bCs w:val="1"/>
                <w:color w:val="auto"/>
              </w:rPr>
              <w:t>2. Amount of Securities</w:t>
            </w:r>
          </w:p>
        </w:tc>
        <w:tc>
          <w:tcPr>
            <w:tcW w:w="1380" w:type="dxa"/>
            <w:vAlign w:val="bottom"/>
            <w:gridSpan w:val="3"/>
          </w:tcPr>
          <w:p>
            <w:pPr>
              <w:ind w:left="20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2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80" w:type="dxa"/>
            <w:vAlign w:val="bottom"/>
            <w:gridSpan w:val="3"/>
          </w:tcPr>
          <w:p>
            <w:pPr>
              <w:ind w:left="20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2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4)</w:t>
            </w:r>
          </w:p>
        </w:tc>
        <w:tc>
          <w:tcPr>
            <w:tcW w:w="1380" w:type="dxa"/>
            <w:vAlign w:val="bottom"/>
            <w:gridSpan w:val="3"/>
          </w:tcPr>
          <w:p>
            <w:pPr>
              <w:ind w:left="200"/>
              <w:spacing w:after="0" w:line="165" w:lineRule="exact"/>
              <w:rPr>
                <w:sz w:val="20"/>
                <w:szCs w:val="20"/>
                <w:color w:val="auto"/>
              </w:rPr>
            </w:pPr>
            <w:r>
              <w:rPr>
                <w:rFonts w:ascii="Arial" w:cs="Arial" w:eastAsia="Arial" w:hAnsi="Arial"/>
                <w:sz w:val="15"/>
                <w:szCs w:val="15"/>
                <w:b w:val="1"/>
                <w:bCs w:val="1"/>
                <w:color w:val="auto"/>
              </w:rPr>
              <w:t>(D) or Indirect</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380" w:type="dxa"/>
            <w:vAlign w:val="bottom"/>
            <w:gridSpan w:val="3"/>
          </w:tcPr>
          <w:p>
            <w:pPr>
              <w:ind w:left="200"/>
              <w:spacing w:after="0"/>
              <w:rPr>
                <w:sz w:val="20"/>
                <w:szCs w:val="20"/>
                <w:color w:val="auto"/>
              </w:rPr>
            </w:pPr>
            <w:r>
              <w:rPr>
                <w:rFonts w:ascii="Arial" w:cs="Arial" w:eastAsia="Arial" w:hAnsi="Arial"/>
                <w:sz w:val="15"/>
                <w:szCs w:val="15"/>
                <w:b w:val="1"/>
                <w:bCs w:val="1"/>
                <w:color w:val="auto"/>
              </w:rPr>
              <w:t>(I) (Instr. 5)</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Common Stock</w:t>
            </w:r>
            <w:r>
              <w:rPr>
                <w:rFonts w:ascii="Times New Roman" w:cs="Times New Roman" w:eastAsia="Times New Roman" w:hAnsi="Times New Roman"/>
                <w:sz w:val="25"/>
                <w:szCs w:val="25"/>
                <w:color w:val="008000"/>
                <w:vertAlign w:val="superscript"/>
              </w:rPr>
              <w:t>(1)</w:t>
            </w: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20" w:type="dxa"/>
            <w:vAlign w:val="bottom"/>
            <w:vMerge w:val="restart"/>
          </w:tcPr>
          <w:p>
            <w:pPr>
              <w:ind w:left="860"/>
              <w:spacing w:after="0"/>
              <w:rPr>
                <w:sz w:val="20"/>
                <w:szCs w:val="20"/>
                <w:color w:val="auto"/>
              </w:rPr>
            </w:pPr>
            <w:r>
              <w:rPr>
                <w:rFonts w:ascii="Times New Roman" w:cs="Times New Roman" w:eastAsia="Times New Roman" w:hAnsi="Times New Roman"/>
                <w:sz w:val="20"/>
                <w:szCs w:val="20"/>
                <w:color w:val="0000FF"/>
              </w:rPr>
              <w:t>192</w:t>
            </w:r>
          </w:p>
        </w:tc>
        <w:tc>
          <w:tcPr>
            <w:tcW w:w="660" w:type="dxa"/>
            <w:vAlign w:val="bottom"/>
          </w:tcPr>
          <w:p>
            <w:pPr>
              <w:spacing w:after="0"/>
              <w:rPr>
                <w:sz w:val="24"/>
                <w:szCs w:val="24"/>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20"/>
                <w:szCs w:val="20"/>
                <w:color w:val="0000FF"/>
              </w:rPr>
              <w:t>I</w:t>
            </w: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Hargroves Family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2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2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278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color w:val="0000FF"/>
              </w:rPr>
              <w:t>Investments, LLC</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170"/>
        </w:trPr>
        <w:tc>
          <w:tcPr>
            <w:tcW w:w="20" w:type="dxa"/>
            <w:vAlign w:val="bottom"/>
            <w:tcBorders>
              <w:bottom w:val="single" w:sz="8" w:color="2C2C2C"/>
            </w:tcBorders>
          </w:tcPr>
          <w:p>
            <w:pPr>
              <w:spacing w:after="0"/>
              <w:rPr>
                <w:sz w:val="14"/>
                <w:szCs w:val="14"/>
                <w:color w:val="auto"/>
              </w:rPr>
            </w:pPr>
          </w:p>
        </w:tc>
        <w:tc>
          <w:tcPr>
            <w:tcW w:w="302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9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2780" w:type="dxa"/>
            <w:vAlign w:val="bottom"/>
            <w:tcBorders>
              <w:bottom w:val="single" w:sz="8" w:color="2C2C2C"/>
            </w:tcBorders>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3020" w:type="dxa"/>
            <w:vAlign w:val="bottom"/>
            <w:tcBorders>
              <w:top w:val="single" w:sz="8" w:color="2C2C2C"/>
            </w:tcBorders>
          </w:tcPr>
          <w:p>
            <w:pPr>
              <w:spacing w:after="0"/>
              <w:rPr>
                <w:sz w:val="22"/>
                <w:szCs w:val="22"/>
                <w:color w:val="auto"/>
              </w:rPr>
            </w:pPr>
          </w:p>
        </w:tc>
        <w:tc>
          <w:tcPr>
            <w:tcW w:w="512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2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15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140" w:type="dxa"/>
            <w:vAlign w:val="bottom"/>
            <w:gridSpan w:val="7"/>
          </w:tcPr>
          <w:p>
            <w:pPr>
              <w:ind w:left="2760"/>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2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140"/>
              <w:spacing w:after="0"/>
              <w:rPr>
                <w:sz w:val="20"/>
                <w:szCs w:val="20"/>
                <w:color w:val="auto"/>
              </w:rPr>
            </w:pPr>
            <w:r>
              <w:rPr>
                <w:rFonts w:ascii="Arial" w:cs="Arial" w:eastAsia="Arial" w:hAnsi="Arial"/>
                <w:sz w:val="15"/>
                <w:szCs w:val="15"/>
                <w:b w:val="1"/>
                <w:bCs w:val="1"/>
                <w:color w:val="auto"/>
              </w:rPr>
              <w:t>3. Title and Amount of Securities</w:t>
            </w:r>
          </w:p>
        </w:tc>
        <w:tc>
          <w:tcPr>
            <w:tcW w:w="720" w:type="dxa"/>
            <w:vAlign w:val="bottom"/>
            <w:gridSpan w:val="2"/>
          </w:tcPr>
          <w:p>
            <w:pPr>
              <w:ind w:left="120"/>
              <w:spacing w:after="0"/>
              <w:rPr>
                <w:sz w:val="20"/>
                <w:szCs w:val="20"/>
                <w:color w:val="auto"/>
              </w:rPr>
            </w:pPr>
            <w:r>
              <w:rPr>
                <w:rFonts w:ascii="Arial" w:cs="Arial" w:eastAsia="Arial" w:hAnsi="Arial"/>
                <w:sz w:val="15"/>
                <w:szCs w:val="15"/>
                <w:b w:val="1"/>
                <w:bCs w:val="1"/>
                <w:color w:val="auto"/>
              </w:rPr>
              <w:t>4.</w:t>
            </w:r>
          </w:p>
        </w:tc>
        <w:tc>
          <w:tcPr>
            <w:tcW w:w="3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4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40" w:type="dxa"/>
            <w:vAlign w:val="bottom"/>
          </w:tcPr>
          <w:p>
            <w:pPr>
              <w:spacing w:after="0"/>
              <w:rPr>
                <w:sz w:val="14"/>
                <w:szCs w:val="14"/>
                <w:color w:val="auto"/>
              </w:rPr>
            </w:pPr>
          </w:p>
        </w:tc>
        <w:tc>
          <w:tcPr>
            <w:tcW w:w="10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9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(Instr. 4)</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320" w:type="dxa"/>
            <w:vAlign w:val="bottom"/>
          </w:tcPr>
          <w:p>
            <w:pPr>
              <w:spacing w:after="0"/>
              <w:rPr>
                <w:sz w:val="7"/>
                <w:szCs w:val="7"/>
                <w:color w:val="auto"/>
              </w:rPr>
            </w:pP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920" w:type="dxa"/>
            <w:vAlign w:val="bottom"/>
          </w:tcPr>
          <w:p>
            <w:pPr>
              <w:spacing w:after="0"/>
              <w:rPr>
                <w:sz w:val="5"/>
                <w:szCs w:val="5"/>
                <w:color w:val="auto"/>
              </w:rPr>
            </w:pPr>
          </w:p>
        </w:tc>
        <w:tc>
          <w:tcPr>
            <w:tcW w:w="6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Amount</w:t>
            </w: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5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w:t>
            </w:r>
          </w:p>
        </w:tc>
        <w:tc>
          <w:tcPr>
            <w:tcW w:w="40" w:type="dxa"/>
            <w:vAlign w:val="bottom"/>
          </w:tcPr>
          <w:p>
            <w:pPr>
              <w:spacing w:after="0"/>
              <w:rPr>
                <w:sz w:val="14"/>
                <w:szCs w:val="14"/>
                <w:color w:val="auto"/>
              </w:rPr>
            </w:pPr>
          </w:p>
        </w:tc>
        <w:tc>
          <w:tcPr>
            <w:tcW w:w="68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Security</w:t>
            </w:r>
          </w:p>
        </w:tc>
        <w:tc>
          <w:tcPr>
            <w:tcW w:w="320" w:type="dxa"/>
            <w:vAlign w:val="bottom"/>
          </w:tcPr>
          <w:p>
            <w:pPr>
              <w:spacing w:after="0"/>
              <w:rPr>
                <w:sz w:val="14"/>
                <w:szCs w:val="14"/>
                <w:color w:val="auto"/>
              </w:rPr>
            </w:pP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Number</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8"/>
              </w:rPr>
              <w:t>Expiration</w:t>
            </w:r>
          </w:p>
        </w:tc>
        <w:tc>
          <w:tcPr>
            <w:tcW w:w="1920" w:type="dxa"/>
            <w:vAlign w:val="bottom"/>
          </w:tcPr>
          <w:p>
            <w:pPr>
              <w:spacing w:after="0"/>
              <w:rPr>
                <w:sz w:val="14"/>
                <w:szCs w:val="14"/>
                <w:color w:val="auto"/>
              </w:rPr>
            </w:pPr>
          </w:p>
        </w:tc>
        <w:tc>
          <w:tcPr>
            <w:tcW w:w="6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of</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2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920" w:type="dxa"/>
            <w:vAlign w:val="bottom"/>
          </w:tcPr>
          <w:p>
            <w:pPr>
              <w:ind w:left="140"/>
              <w:spacing w:after="0"/>
              <w:rPr>
                <w:sz w:val="20"/>
                <w:szCs w:val="20"/>
                <w:color w:val="auto"/>
              </w:rPr>
            </w:pPr>
            <w:r>
              <w:rPr>
                <w:rFonts w:ascii="Arial" w:cs="Arial" w:eastAsia="Arial" w:hAnsi="Arial"/>
                <w:sz w:val="15"/>
                <w:szCs w:val="15"/>
                <w:b w:val="1"/>
                <w:bCs w:val="1"/>
                <w:color w:val="auto"/>
              </w:rPr>
              <w:t>Title</w:t>
            </w:r>
          </w:p>
        </w:tc>
        <w:tc>
          <w:tcPr>
            <w:tcW w:w="660" w:type="dxa"/>
            <w:vAlign w:val="bottom"/>
          </w:tcPr>
          <w:p>
            <w:pPr>
              <w:ind w:left="60"/>
              <w:spacing w:after="0"/>
              <w:rPr>
                <w:sz w:val="20"/>
                <w:szCs w:val="20"/>
                <w:color w:val="auto"/>
              </w:rPr>
            </w:pPr>
            <w:r>
              <w:rPr>
                <w:rFonts w:ascii="Arial" w:cs="Arial" w:eastAsia="Arial" w:hAnsi="Arial"/>
                <w:sz w:val="15"/>
                <w:szCs w:val="15"/>
                <w:b w:val="1"/>
                <w:bCs w:val="1"/>
                <w:color w:val="auto"/>
              </w:rPr>
              <w:t>Shares</w:t>
            </w: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Hargroves</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w w:val="99"/>
              </w:rPr>
              <w:t>Warrant to Purchase Common Stock</w:t>
            </w:r>
          </w:p>
        </w:tc>
        <w:tc>
          <w:tcPr>
            <w:tcW w:w="100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0000FF"/>
              </w:rPr>
              <w:t>12/10/2021</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12/10/2026</w:t>
            </w:r>
          </w:p>
        </w:tc>
        <w:tc>
          <w:tcPr>
            <w:tcW w:w="1920" w:type="dxa"/>
            <w:vAlign w:val="bottom"/>
            <w:vMerge w:val="restart"/>
          </w:tcPr>
          <w:p>
            <w:pPr>
              <w:ind w:left="380"/>
              <w:spacing w:after="0"/>
              <w:rPr>
                <w:sz w:val="20"/>
                <w:szCs w:val="20"/>
                <w:color w:val="auto"/>
              </w:rPr>
            </w:pPr>
            <w:r>
              <w:rPr>
                <w:rFonts w:ascii="Times New Roman" w:cs="Times New Roman" w:eastAsia="Times New Roman" w:hAnsi="Times New Roman"/>
                <w:sz w:val="20"/>
                <w:szCs w:val="20"/>
                <w:color w:val="0000FF"/>
              </w:rPr>
              <w:t>Common Stock</w:t>
            </w:r>
          </w:p>
        </w:tc>
        <w:tc>
          <w:tcPr>
            <w:tcW w:w="66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35</w:t>
            </w:r>
          </w:p>
        </w:tc>
        <w:tc>
          <w:tcPr>
            <w:tcW w:w="1040" w:type="dxa"/>
            <w:vAlign w:val="bottom"/>
            <w:gridSpan w:val="3"/>
            <w:vMerge w:val="restart"/>
          </w:tcPr>
          <w:p>
            <w:pPr>
              <w:jc w:val="right"/>
              <w:ind w:right="194"/>
              <w:spacing w:after="0"/>
              <w:rPr>
                <w:sz w:val="20"/>
                <w:szCs w:val="20"/>
                <w:color w:val="auto"/>
              </w:rPr>
            </w:pPr>
            <w:r>
              <w:rPr>
                <w:rFonts w:ascii="Times New Roman" w:cs="Times New Roman" w:eastAsia="Times New Roman" w:hAnsi="Times New Roman"/>
                <w:sz w:val="20"/>
                <w:szCs w:val="20"/>
                <w:color w:val="0000FF"/>
              </w:rPr>
              <w:t>1,440</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Family</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54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Investments,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bl>
    <w:p>
      <w:pPr>
        <w:ind w:left="9480"/>
        <w:spacing w:after="0"/>
        <w:rPr>
          <w:sz w:val="20"/>
          <w:szCs w:val="20"/>
          <w:color w:val="auto"/>
        </w:rPr>
      </w:pPr>
      <w:r>
        <w:rPr>
          <w:rFonts w:ascii="Times New Roman" w:cs="Times New Roman" w:eastAsia="Times New Roman" w:hAnsi="Times New Roman"/>
          <w:sz w:val="20"/>
          <w:szCs w:val="20"/>
          <w:color w:val="0000FF"/>
        </w:rPr>
        <w:t>LLC</w:t>
      </w:r>
      <w:r>
        <w:rPr>
          <w:rFonts w:ascii="Times New Roman" w:cs="Times New Roman" w:eastAsia="Times New Roman" w:hAnsi="Times New Roman"/>
          <w:sz w:val="25"/>
          <w:szCs w:val="25"/>
          <w:color w:val="008000"/>
          <w:vertAlign w:val="superscript"/>
        </w:rPr>
        <w:t>(2)</w:t>
      </w:r>
    </w:p>
    <w:p>
      <w:pPr>
        <w:spacing w:after="0" w:line="7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Form 3 filing was delayed due technical difficulties in obtaining the reporting person's EDGAR filing codes. The reporting person's beneficial ownership has been reported under the caption "Security Ownership of Certain Beneficial Owners and Management" in the registrant's SEC filings made since February 13, 2026.</w:t>
      </w:r>
    </w:p>
    <w:p>
      <w:pPr>
        <w:spacing w:after="0" w:line="17" w:lineRule="exact"/>
        <w:rPr>
          <w:rFonts w:ascii="Times New Roman" w:cs="Times New Roman" w:eastAsia="Times New Roman" w:hAnsi="Times New Roman"/>
          <w:sz w:val="15"/>
          <w:szCs w:val="15"/>
          <w:color w:val="008000"/>
        </w:rPr>
      </w:pPr>
    </w:p>
    <w:p>
      <w:pPr>
        <w:ind w:left="40" w:right="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Reporting person disclaims beneficial ownership of these securities except to the extent of their pecuniary interest therein, and the inclusion of these shares in this report shall not be deemed an admission of beneficial ownership of all of the reported shares for purposes of Section 16 or for any other purpose.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/s/ Jeff Hargroves</w:t>
            </w:r>
          </w:p>
        </w:tc>
        <w:tc>
          <w:tcPr>
            <w:tcW w:w="80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06/08/2026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20" w:firstLine="720"/>
        <w:spacing w:after="0" w:line="282" w:lineRule="auto"/>
        <w:rPr>
          <w:sz w:val="20"/>
          <w:szCs w:val="20"/>
          <w:color w:val="auto"/>
        </w:rPr>
      </w:pPr>
      <w:r>
        <w:rPr>
          <w:rFonts w:ascii="Times New Roman" w:cs="Times New Roman" w:eastAsia="Times New Roman" w:hAnsi="Times New Roman"/>
          <w:sz w:val="20"/>
          <w:szCs w:val="20"/>
          <w:color w:val="auto"/>
        </w:rPr>
        <w:t>Know all by these present that the undersigned hereby constitutes and appoints each of Shane J. Schaffer, Jennifer Callahan, Evan Rabinowitz and Steven Skolnick as his true and lawful attorney-in-fact to:</w:t>
      </w:r>
    </w:p>
    <w:p>
      <w:pPr>
        <w:spacing w:after="0" w:line="180" w:lineRule="exact"/>
        <w:rPr>
          <w:sz w:val="20"/>
          <w:szCs w:val="20"/>
          <w:color w:val="auto"/>
        </w:rPr>
      </w:pPr>
    </w:p>
    <w:p>
      <w:pPr>
        <w:ind w:left="1440" w:right="20" w:hanging="720"/>
        <w:spacing w:after="0" w:line="282" w:lineRule="auto"/>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Schedules 13D and 13G and Forms 3, 4 and 5 in accordance with Sections 13 and 16(a) of the Securities Exchange Act of 1934 (the “Exchange Act”) and the rules thereunder;</w:t>
      </w:r>
    </w:p>
    <w:p>
      <w:pPr>
        <w:spacing w:after="0" w:line="179" w:lineRule="exact"/>
        <w:rPr>
          <w:rFonts w:ascii="Times New Roman" w:cs="Times New Roman" w:eastAsia="Times New Roman" w:hAnsi="Times New Roman"/>
          <w:sz w:val="20"/>
          <w:szCs w:val="20"/>
          <w:color w:val="auto"/>
        </w:rPr>
      </w:pPr>
    </w:p>
    <w:p>
      <w:pPr>
        <w:jc w:val="both"/>
        <w:ind w:left="1440" w:hanging="720"/>
        <w:spacing w:after="0" w:line="266" w:lineRule="auto"/>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the execution of any such Schedules 13D or 13G and Forms 3, 4 or 5, and the timely filing of such Forms with the United States Securities and Exchange Commission and any other authority; and</w:t>
      </w:r>
    </w:p>
    <w:p>
      <w:pPr>
        <w:spacing w:after="0" w:line="195" w:lineRule="exact"/>
        <w:rPr>
          <w:rFonts w:ascii="Times New Roman" w:cs="Times New Roman" w:eastAsia="Times New Roman" w:hAnsi="Times New Roman"/>
          <w:sz w:val="20"/>
          <w:szCs w:val="20"/>
          <w:color w:val="auto"/>
        </w:rPr>
      </w:pPr>
    </w:p>
    <w:p>
      <w:pPr>
        <w:jc w:val="both"/>
        <w:ind w:left="1440" w:hanging="720"/>
        <w:spacing w:after="0" w:line="256" w:lineRule="auto"/>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including, without limitation, the execution and filing of a Form 4 with respect to a transaction which may be reported on a Form 5, it being understood that the documents executed by such attorney-in-fact on behalf of the undersigned pursuant to this Power of Attorney shall be in such form and shall contain such terms and conditions as such attorney-in-fact may approve in his discretion.</w:t>
      </w:r>
    </w:p>
    <w:p>
      <w:pPr>
        <w:spacing w:after="0" w:line="209"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all and every act and thing whatsoever requisite, necessary and proper to be done in the exercise of any of the rights and powers herein granted, as fully and to all intents and purposes as he might or could do in person, with full power of substitution and resubstitution, hereby ratifying and confirming all that such attorney-in-fact, or his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Sections 13 and 16 of the Exchange Act.</w:t>
      </w:r>
    </w:p>
    <w:p>
      <w:pPr>
        <w:spacing w:after="0" w:line="21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any Schedules 13D and 13G and Forms 3, 4 and 5 in accordance with Sections 13 and 16(a) of the Exchange Act and the rules thereunder with respect to the undersigned’s holdings of and transactions in securities issued by Cingulate Inc. unless earlier revoked by the undersigned in a signed writing delivered to the foregoing attorneys-in-fact.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Febraury 13, 2026.</w:t>
      </w:r>
    </w:p>
    <w:p>
      <w:pPr>
        <w:spacing w:after="0" w:line="24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i w:val="1"/>
          <w:iCs w:val="1"/>
          <w:color w:val="auto"/>
        </w:rPr>
        <w:t>/s/ Jeff Hargroves</w:t>
      </w:r>
    </w:p>
    <w:p>
      <w:pPr>
        <w:spacing w:after="0" w:line="3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Jeff Hargroves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320675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83231" TargetMode="External"/><Relationship Id="rId11" Type="http://schemas.openxmlformats.org/officeDocument/2006/relationships/hyperlink" Target="http://www.sec.gov/cgi-bin/browse-edgar?action=getcompany&amp;CIK=00018621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2026-06-08T18:01:16Z</dcterms:created>
  <dcterms:modified xsi:type="dcterms:W3CDTF">2026-06-08T18:01:16Z</dcterms:modified>
</cp:coreProperties>
</file>