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4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F_edei--DocumentAnnualReport_c2024"/>
            <w:bookmarkEnd w:id="3"/>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5_edei--CurrentFiscalYearEndDate_c"/>
      <w:bookmarkStart w:id="5" w:name="xdx_90D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E_edei--DocumentFiscalYearFocus_c2"/>
      <w:bookmarkEnd w:id="6"/>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7" w:name="xdx_90E_edei--DocumentTransitionReport_c"/>
            <w:bookmarkEnd w:id="7"/>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D_edei--EntityFileNumber_c20240101"/>
      <w:bookmarkEnd w:id="8"/>
      <w:r>
        <w:rPr>
          <w:rFonts w:ascii="Times New Roman;Times;Serif" w:hAnsi="Times New Roman;Times;Serif"/>
          <w:b/>
          <w:i w:val="false"/>
          <w:caps w:val="false"/>
          <w:smallCaps w:val="false"/>
          <w:sz w:val="20"/>
        </w:rPr>
        <w:t>001-40874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4_edei--EntityRegistrantName_c2024"/>
      <w:bookmarkEnd w:id="9"/>
      <w:r>
        <w:rPr>
          <w:rFonts w:ascii="Times New Roman;Times;Serif" w:hAnsi="Times New Roman;Times;Serif"/>
          <w:b/>
          <w:i w:val="false"/>
          <w:caps w:val="false"/>
          <w:smallCaps w:val="false"/>
          <w:sz w:val="36"/>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215"/>
        <w:gridCol w:w="60"/>
        <w:gridCol w:w="1535"/>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5_edei--EntityIncorporationStateCo"/>
            <w:bookmarkEnd w:id="10"/>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TaxIdentificationNum"/>
            <w:bookmarkEnd w:id="11"/>
            <w:r>
              <w:rPr>
                <w:rFonts w:ascii="Times New Roman;Times;Serif" w:hAnsi="Times New Roman;Times;Serif"/>
                <w:b/>
                <w:i w:val="false"/>
                <w:caps w:val="false"/>
                <w:smallCaps w:val="false"/>
                <w:sz w:val="20"/>
              </w:rPr>
              <w:t>86-3825535</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AddressLine1_"/>
            <w:bookmarkEnd w:id="12"/>
            <w:r>
              <w:rPr>
                <w:rFonts w:ascii="Times New Roman;Times;Serif" w:hAnsi="Times New Roman;Times;Serif"/>
                <w:b/>
                <w:i w:val="false"/>
                <w:caps w:val="false"/>
                <w:smallCaps w:val="false"/>
                <w:sz w:val="20"/>
              </w:rPr>
              <w:t>1901 W. 47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Place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E_edei--EntityAddressCityOrTown_c2"/>
            <w:bookmarkEnd w:id="13"/>
            <w:r>
              <w:rPr>
                <w:rFonts w:ascii="Times New Roman;Times;Serif" w:hAnsi="Times New Roman;Times;Serif"/>
                <w:b/>
                <w:i w:val="false"/>
                <w:caps w:val="false"/>
                <w:smallCaps w:val="false"/>
                <w:sz w:val="20"/>
              </w:rPr>
              <w:t xml:space="preserve">Kansas City, </w:t>
            </w:r>
            <w:bookmarkStart w:id="14" w:name="xdx_906_edei--EntityAddressStateOrProvin"/>
            <w:bookmarkEnd w:id="14"/>
            <w:r>
              <w:rPr>
                <w:rFonts w:ascii="Times New Roman;Times;Serif" w:hAnsi="Times New Roman;Times;Serif"/>
                <w:b/>
                <w:i w:val="false"/>
                <w:caps w:val="false"/>
                <w:smallCaps w:val="false"/>
                <w:sz w:val="20"/>
              </w:rPr>
              <w:t xml:space="preserve">KS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5_edei--EntityAddressPostalZipCode"/>
            <w:bookmarkEnd w:id="15"/>
            <w:r>
              <w:rPr>
                <w:rFonts w:ascii="Times New Roman;Times;Serif" w:hAnsi="Times New Roman;Times;Serif"/>
                <w:b/>
                <w:i w:val="false"/>
                <w:caps w:val="false"/>
                <w:smallCaps w:val="false"/>
                <w:sz w:val="20"/>
              </w:rPr>
              <w:t>66205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4_edei--CityAreaCode_c20240101__20"/>
      <w:bookmarkEnd w:id="16"/>
      <w:r>
        <w:rPr>
          <w:rFonts w:ascii="Times New Roman;Times;Serif" w:hAnsi="Times New Roman;Times;Serif"/>
          <w:b/>
          <w:i w:val="false"/>
          <w:caps w:val="false"/>
          <w:smallCaps w:val="false"/>
          <w:sz w:val="20"/>
        </w:rPr>
        <w:t xml:space="preserve">(913) </w:t>
      </w:r>
      <w:bookmarkStart w:id="17" w:name="xdx_900_edei--LocalPhoneNumber_c20240101"/>
      <w:bookmarkEnd w:id="17"/>
      <w:r>
        <w:rPr>
          <w:rFonts w:ascii="Times New Roman;Times;Serif" w:hAnsi="Times New Roman;Times;Serif"/>
          <w:b/>
          <w:i w:val="false"/>
          <w:caps w:val="false"/>
          <w:smallCaps w:val="false"/>
          <w:sz w:val="20"/>
        </w:rPr>
        <w:t>942-2300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285" w:type="dxa"/>
        <w:jc w:val="left"/>
        <w:tblInd w:w="0" w:type="dxa"/>
        <w:tblLayout w:type="fixed"/>
        <w:tblCellMar>
          <w:top w:w="0" w:type="dxa"/>
          <w:left w:w="0" w:type="dxa"/>
          <w:bottom w:w="28" w:type="dxa"/>
          <w:right w:w="0" w:type="dxa"/>
        </w:tblCellMar>
      </w:tblPr>
      <w:tblGrid>
        <w:gridCol w:w="4280"/>
        <w:gridCol w:w="60"/>
        <w:gridCol w:w="1610"/>
        <w:gridCol w:w="60"/>
        <w:gridCol w:w="3275"/>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40101"/>
            <w:bookmarkEnd w:id="18"/>
            <w:r>
              <w:rPr>
                <w:rFonts w:ascii="Times New Roman;Times;Serif" w:hAnsi="Times New Roman;Times;Serif"/>
                <w:b w:val="false"/>
                <w:i w:val="false"/>
                <w:caps w:val="false"/>
                <w:smallCaps w:val="false"/>
                <w:sz w:val="20"/>
              </w:rPr>
              <w:t xml:space="preserve">Common Stock, par value $0.0001 per share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40101__2"/>
            <w:bookmarkEnd w:id="19"/>
            <w:r>
              <w:rPr>
                <w:rFonts w:ascii="Times New Roman;Times;Serif" w:hAnsi="Times New Roman;Times;Serif"/>
                <w:b w:val="false"/>
                <w:i w:val="false"/>
                <w:caps w:val="false"/>
                <w:smallCaps w:val="false"/>
                <w:sz w:val="20"/>
              </w:rPr>
              <w:t>CING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3_edei--SecurityExchangeName_c2024"/>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12bTitle_c20240101"/>
            <w:bookmarkEnd w:id="21"/>
            <w:r>
              <w:rPr>
                <w:rFonts w:ascii="Times New Roman;Times;Serif" w:hAnsi="Times New Roman;Times;Serif"/>
                <w:b w:val="false"/>
                <w:i w:val="false"/>
                <w:caps w:val="false"/>
                <w:smallCaps w:val="false"/>
                <w:sz w:val="20"/>
              </w:rPr>
              <w:t>Warrants, exercisable for one share of 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TradingSymbol_c20240101__2"/>
            <w:bookmarkEnd w:id="22"/>
            <w:r>
              <w:rPr>
                <w:rFonts w:ascii="Times New Roman;Times;Serif" w:hAnsi="Times New Roman;Times;Serif"/>
                <w:b w:val="false"/>
                <w:i w:val="false"/>
                <w:caps w:val="false"/>
                <w:smallCaps w:val="false"/>
                <w:sz w:val="20"/>
              </w:rPr>
              <w:t>CINGW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3" w:name="xdx_909_edei--SecurityExchangeName_c2024"/>
            <w:bookmarkEnd w:id="23"/>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4" w:name="xdx_90B_edei--EntityWellKnownSeasonedIss"/>
      <w:bookmarkEnd w:id="24"/>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5" w:name="xdx_909_edei--EntityVoluntaryFilers_c202"/>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6" w:name="xdx_908_edei--EntityCurrentReportingStat"/>
      <w:bookmarkEnd w:id="26"/>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bookmarkStart w:id="27" w:name="xdx_906_edei--EntityInteractiveDataCurre"/>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checkmark whether the registrant is a large accelerated filer, an accelerate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8" w:name="xdx_907_edei--EntityFilerCategory_c20240"/>
            <w:bookmarkEnd w:id="28"/>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9" w:name="xdx_90A_edei--EntitySmallBusiness_c20240"/>
            <w:bookmarkEnd w:id="29"/>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30" w:name="xdx_908_edei--EntityEmergingGrowthCompan"/>
            <w:bookmarkEnd w:id="30"/>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31" w:name="xdx_90B_edei--EntityExTransitionPeriod_c"/>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2" w:name="xdx_90A_edei--IcfrAuditorAttestationFlag"/>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3" w:name="xdx_900_edei--DocumentFinStmtErrorCorrec"/>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4" w:name="xdx_90C_edei--EntityShellCompany_dbF_c20"/>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computed by reference to the closing price of the registrant’s common stock on June 30, 2024 was approximately $</w:t>
      </w:r>
      <w:bookmarkStart w:id="35" w:name="xdx_902_edei--EntityPublicFloat_iI_pn5n6"/>
      <w:bookmarkEnd w:id="35"/>
      <w:r>
        <w:rPr>
          <w:rFonts w:ascii="Times New Roman;Times;Serif" w:hAnsi="Times New Roman;Times;Serif"/>
          <w:b w:val="false"/>
          <w:i w:val="false"/>
          <w:caps w:val="false"/>
          <w:smallCaps w:val="false"/>
          <w:sz w:val="20"/>
        </w:rPr>
        <w:t>2.0 million. This calculation does not reflect a determination that certain persons are affiliates of the registrant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the registrant’s common stock, par value of $</w:t>
      </w:r>
      <w:bookmarkStart w:id="36" w:name="xdx_90C_edei--EntityListingParValuePerSh"/>
      <w:bookmarkEnd w:id="36"/>
      <w:r>
        <w:rPr>
          <w:rFonts w:ascii="Times New Roman;Times;Serif" w:hAnsi="Times New Roman;Times;Serif"/>
          <w:b w:val="false"/>
          <w:i w:val="false"/>
          <w:caps w:val="false"/>
          <w:smallCaps w:val="false"/>
          <w:sz w:val="20"/>
        </w:rPr>
        <w:t xml:space="preserve">0.0001 per share, as of March 21, 2025 was </w:t>
      </w:r>
      <w:bookmarkStart w:id="37" w:name="xdx_905_edei--EntityCommonStockSharesOut"/>
      <w:bookmarkEnd w:id="37"/>
      <w:r>
        <w:rPr>
          <w:rFonts w:ascii="Times New Roman;Times;Serif" w:hAnsi="Times New Roman;Times;Serif"/>
          <w:b w:val="false"/>
          <w:i w:val="false"/>
          <w:caps w:val="false"/>
          <w:smallCaps w:val="false"/>
          <w:sz w:val="20"/>
        </w:rPr>
        <w:t>3,768,400.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8" w:name="xdx_90C_edei--DocumentsIncorporatedByRef"/>
      <w:bookmarkEnd w:id="38"/>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December 31, 2024 </w:t>
      </w:r>
    </w:p>
    <w:p>
      <w:pPr>
        <w:pStyle w:val="TextBody"/>
        <w:bidi w:val="0"/>
        <w:spacing w:before="0" w:after="0"/>
        <w:ind w:left="0" w:right="0" w:hanging="0"/>
        <w:jc w:val="center"/>
        <w:rPr>
          <w:caps w:val="false"/>
          <w:smallCaps w:val="false"/>
        </w:rPr>
      </w:pPr>
      <w:r>
        <w:rPr>
          <w:caps w:val="false"/>
          <w:smallCaps w:val="false"/>
        </w:rPr>
        <w:t> </w:t>
      </w:r>
    </w:p>
    <w:tbl>
      <w:tblPr>
        <w:tblW w:w="10185" w:type="dxa"/>
        <w:jc w:val="left"/>
        <w:tblInd w:w="0" w:type="dxa"/>
        <w:tblLayout w:type="fixed"/>
        <w:tblCellMar>
          <w:top w:w="0" w:type="dxa"/>
          <w:left w:w="0" w:type="dxa"/>
          <w:bottom w:w="0" w:type="dxa"/>
          <w:right w:w="0" w:type="dxa"/>
        </w:tblCellMar>
      </w:tblPr>
      <w:tblGrid>
        <w:gridCol w:w="680"/>
        <w:gridCol w:w="9050"/>
        <w:gridCol w:w="455"/>
      </w:tblGrid>
      <w:tr>
        <w:trPr/>
        <w:tc>
          <w:tcPr>
            <w:tcW w:w="68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018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0185" w:type="dxa"/>
            <w:gridSpan w:val="3"/>
            <w:tcBorders/>
            <w:shd w:fill="CCEEFF" w:val="clear"/>
            <w:vAlign w:val="center"/>
          </w:tcPr>
          <w:p>
            <w:pPr>
              <w:pStyle w:val="TableContents"/>
              <w:bidi w:val="0"/>
              <w:spacing w:before="0" w:after="283"/>
              <w:jc w:val="center"/>
              <w:rPr/>
            </w:pPr>
            <w:hyperlink w:anchor="D_001">
              <w:r>
                <w:rPr>
                  <w:rStyle w:val="InternetLink"/>
                  <w:rFonts w:ascii="Times New Roman;Times;Serif" w:hAnsi="Times New Roman;Times;Serif"/>
                  <w:b/>
                  <w:i w:val="false"/>
                  <w:caps w:val="false"/>
                  <w:smallCaps w:val="false"/>
                  <w:sz w:val="20"/>
                </w:rPr>
                <w:t>PART I</w:t>
              </w:r>
            </w:hyperlink>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50" w:type="dxa"/>
            <w:tcBorders/>
            <w:shd w:fill="FFFF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Business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5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9050" w:type="dxa"/>
            <w:tcBorders/>
            <w:shd w:fill="FFFFFF" w:val="clear"/>
            <w:vAlign w:val="center"/>
          </w:tcPr>
          <w:p>
            <w:pPr>
              <w:pStyle w:val="TableContents"/>
              <w:bidi w:val="0"/>
              <w:spacing w:before="0" w:after="283"/>
              <w:jc w:val="left"/>
              <w:rPr/>
            </w:pPr>
            <w:hyperlink w:anchor="ad_001">
              <w:r>
                <w:rPr>
                  <w:rStyle w:val="InternetLink"/>
                  <w:rFonts w:ascii="Times New Roman;Times;Serif" w:hAnsi="Times New Roman;Times;Serif"/>
                  <w:b w:val="false"/>
                  <w:i w:val="false"/>
                  <w:caps w:val="false"/>
                  <w:smallCaps w:val="false"/>
                  <w:sz w:val="20"/>
                </w:rPr>
                <w:t>Unresolved Staff Comments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9050"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Cybersecurity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50"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Properties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50"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50"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10185"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185" w:type="dxa"/>
            <w:gridSpan w:val="3"/>
            <w:tcBorders/>
            <w:shd w:fill="FFFFFF" w:val="clear"/>
            <w:vAlign w:val="center"/>
          </w:tcPr>
          <w:p>
            <w:pPr>
              <w:pStyle w:val="TableContents"/>
              <w:bidi w:val="0"/>
              <w:spacing w:before="0" w:after="283"/>
              <w:jc w:val="center"/>
              <w:rPr/>
            </w:pPr>
            <w:hyperlink w:anchor="m_005">
              <w:r>
                <w:rPr>
                  <w:rStyle w:val="InternetLink"/>
                  <w:rFonts w:ascii="Times New Roman;Times;Serif" w:hAnsi="Times New Roman;Times;Serif"/>
                  <w:b/>
                  <w:i w:val="false"/>
                  <w:caps w:val="false"/>
                  <w:smallCaps w:val="false"/>
                  <w:sz w:val="20"/>
                </w:rPr>
                <w:t>PART II</w:t>
              </w:r>
            </w:hyperlink>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50" w:type="dxa"/>
            <w:tcBorders/>
            <w:shd w:fill="CCEE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50" w:type="dxa"/>
            <w:tcBorders/>
            <w:shd w:fill="FFFF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[Reserved]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9050" w:type="dxa"/>
            <w:tcBorders/>
            <w:shd w:fill="CCEEFF" w:val="clear"/>
            <w:vAlign w:val="center"/>
          </w:tcPr>
          <w:p>
            <w:pPr>
              <w:pStyle w:val="TableContents"/>
              <w:bidi w:val="0"/>
              <w:spacing w:before="0" w:after="283"/>
              <w:jc w:val="left"/>
              <w:rPr/>
            </w:pPr>
            <w:hyperlink w:anchor="m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9050" w:type="dxa"/>
            <w:tcBorders/>
            <w:shd w:fill="FFFFFF" w:val="clear"/>
            <w:vAlign w:val="center"/>
          </w:tcPr>
          <w:p>
            <w:pPr>
              <w:pStyle w:val="TableContents"/>
              <w:bidi w:val="0"/>
              <w:spacing w:before="0" w:after="283"/>
              <w:jc w:val="left"/>
              <w:rPr/>
            </w:pPr>
            <w:hyperlink w:anchor="m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9050" w:type="dxa"/>
            <w:tcBorders/>
            <w:shd w:fill="CCEEFF" w:val="clear"/>
            <w:vAlign w:val="center"/>
          </w:tcPr>
          <w:p>
            <w:pPr>
              <w:pStyle w:val="TableContents"/>
              <w:bidi w:val="0"/>
              <w:spacing w:before="0" w:after="283"/>
              <w:jc w:val="left"/>
              <w:rPr/>
            </w:pPr>
            <w:hyperlink w:anchor="m_010">
              <w:r>
                <w:rPr>
                  <w:rStyle w:val="InternetLink"/>
                  <w:rFonts w:ascii="Times New Roman;Times;Serif" w:hAnsi="Times New Roman;Times;Serif"/>
                  <w:b w:val="false"/>
                  <w:i w:val="false"/>
                  <w:caps w:val="false"/>
                  <w:smallCaps w:val="false"/>
                  <w:sz w:val="20"/>
                </w:rPr>
                <w:t>Financial Statements and Supplementary Data</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9050" w:type="dxa"/>
            <w:tcBorders/>
            <w:shd w:fill="FFFFFF" w:val="clear"/>
            <w:vAlign w:val="center"/>
          </w:tcPr>
          <w:p>
            <w:pPr>
              <w:pStyle w:val="TableContents"/>
              <w:bidi w:val="0"/>
              <w:spacing w:before="0" w:after="283"/>
              <w:jc w:val="left"/>
              <w:rPr/>
            </w:pPr>
            <w:hyperlink w:anchor="m_011">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9050" w:type="dxa"/>
            <w:tcBorders/>
            <w:shd w:fill="CCEEFF" w:val="clear"/>
            <w:vAlign w:val="center"/>
          </w:tcPr>
          <w:p>
            <w:pPr>
              <w:pStyle w:val="TableContents"/>
              <w:bidi w:val="0"/>
              <w:spacing w:before="0" w:after="283"/>
              <w:jc w:val="left"/>
              <w:rPr/>
            </w:pPr>
            <w:hyperlink w:anchor="m_012">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9050" w:type="dxa"/>
            <w:tcBorders/>
            <w:shd w:fill="FFFFFF" w:val="clear"/>
            <w:vAlign w:val="center"/>
          </w:tcPr>
          <w:p>
            <w:pPr>
              <w:pStyle w:val="TableContents"/>
              <w:bidi w:val="0"/>
              <w:spacing w:before="0" w:after="283"/>
              <w:jc w:val="left"/>
              <w:rPr/>
            </w:pPr>
            <w:hyperlink w:anchor="m_013">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9050" w:type="dxa"/>
            <w:tcBorders/>
            <w:shd w:fill="CCEEFF" w:val="clear"/>
            <w:vAlign w:val="center"/>
          </w:tcPr>
          <w:p>
            <w:pPr>
              <w:pStyle w:val="TableContents"/>
              <w:bidi w:val="0"/>
              <w:spacing w:before="0" w:after="283"/>
              <w:jc w:val="left"/>
              <w:rPr/>
            </w:pPr>
            <w:hyperlink w:anchor="m_014">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10185" w:type="dxa"/>
            <w:gridSpan w:val="3"/>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185" w:type="dxa"/>
            <w:gridSpan w:val="3"/>
            <w:tcBorders/>
            <w:shd w:fill="CCEEFF" w:val="clear"/>
            <w:vAlign w:val="center"/>
          </w:tcPr>
          <w:p>
            <w:pPr>
              <w:pStyle w:val="TableContents"/>
              <w:bidi w:val="0"/>
              <w:spacing w:before="0" w:after="283"/>
              <w:jc w:val="center"/>
              <w:rPr/>
            </w:pPr>
            <w:hyperlink w:anchor="m_015">
              <w:r>
                <w:rPr>
                  <w:rStyle w:val="InternetLink"/>
                  <w:rFonts w:ascii="Times New Roman;Times;Serif" w:hAnsi="Times New Roman;Times;Serif"/>
                  <w:b/>
                  <w:i w:val="false"/>
                  <w:caps w:val="false"/>
                  <w:smallCaps w:val="false"/>
                  <w:sz w:val="20"/>
                </w:rPr>
                <w:t>PART III</w:t>
              </w:r>
            </w:hyperlink>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9050" w:type="dxa"/>
            <w:tcBorders/>
            <w:shd w:fill="FFFFFF" w:val="clear"/>
            <w:vAlign w:val="center"/>
          </w:tcPr>
          <w:p>
            <w:pPr>
              <w:pStyle w:val="TableContents"/>
              <w:bidi w:val="0"/>
              <w:spacing w:before="0" w:after="283"/>
              <w:jc w:val="left"/>
              <w:rPr/>
            </w:pPr>
            <w:hyperlink w:anchor="m_016">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9050"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Executive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9050" w:type="dxa"/>
            <w:tcBorders/>
            <w:shd w:fill="FFFFFF" w:val="clear"/>
            <w:vAlign w:val="center"/>
          </w:tcPr>
          <w:p>
            <w:pPr>
              <w:pStyle w:val="TableContents"/>
              <w:bidi w:val="0"/>
              <w:spacing w:before="0" w:after="283"/>
              <w:jc w:val="left"/>
              <w:rPr/>
            </w:pPr>
            <w:hyperlink w:anchor="m_018">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9050" w:type="dxa"/>
            <w:tcBorders/>
            <w:shd w:fill="CCEEFF" w:val="clear"/>
            <w:vAlign w:val="center"/>
          </w:tcPr>
          <w:p>
            <w:pPr>
              <w:pStyle w:val="TableContents"/>
              <w:bidi w:val="0"/>
              <w:spacing w:before="0" w:after="283"/>
              <w:jc w:val="left"/>
              <w:rPr/>
            </w:pPr>
            <w:hyperlink w:anchor="m_019">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9050" w:type="dxa"/>
            <w:tcBorders/>
            <w:shd w:fill="FFFFFF" w:val="clear"/>
            <w:vAlign w:val="center"/>
          </w:tcPr>
          <w:p>
            <w:pPr>
              <w:pStyle w:val="TableContents"/>
              <w:bidi w:val="0"/>
              <w:spacing w:before="0" w:after="283"/>
              <w:jc w:val="left"/>
              <w:rPr/>
            </w:pPr>
            <w:hyperlink w:anchor="m_020">
              <w:r>
                <w:rPr>
                  <w:rStyle w:val="InternetLink"/>
                  <w:rFonts w:ascii="Times New Roman;Times;Serif" w:hAnsi="Times New Roman;Times;Serif"/>
                  <w:b w:val="false"/>
                  <w:i w:val="false"/>
                  <w:caps w:val="false"/>
                  <w:smallCaps w:val="false"/>
                  <w:sz w:val="20"/>
                </w:rPr>
                <w:t>Principal Accountant Fees and Services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10185" w:type="dxa"/>
            <w:gridSpan w:val="3"/>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185" w:type="dxa"/>
            <w:gridSpan w:val="3"/>
            <w:tcBorders/>
            <w:shd w:fill="FFFFFF" w:val="clear"/>
            <w:vAlign w:val="center"/>
          </w:tcPr>
          <w:p>
            <w:pPr>
              <w:pStyle w:val="TableContents"/>
              <w:bidi w:val="0"/>
              <w:spacing w:before="0" w:after="283"/>
              <w:jc w:val="center"/>
              <w:rPr/>
            </w:pPr>
            <w:hyperlink w:anchor="m_021">
              <w:r>
                <w:rPr>
                  <w:rStyle w:val="InternetLink"/>
                  <w:rFonts w:ascii="Times New Roman;Times;Serif" w:hAnsi="Times New Roman;Times;Serif"/>
                  <w:b/>
                  <w:i w:val="false"/>
                  <w:caps w:val="false"/>
                  <w:smallCaps w:val="false"/>
                  <w:sz w:val="20"/>
                </w:rPr>
                <w:t>PART IV</w:t>
              </w:r>
            </w:hyperlink>
          </w:p>
        </w:tc>
      </w:tr>
      <w:tr>
        <w:trPr/>
        <w:tc>
          <w:tcPr>
            <w:tcW w:w="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9050" w:type="dxa"/>
            <w:tcBorders/>
            <w:shd w:fill="CCEEFF" w:val="clear"/>
            <w:vAlign w:val="center"/>
          </w:tcPr>
          <w:p>
            <w:pPr>
              <w:pStyle w:val="TableContents"/>
              <w:bidi w:val="0"/>
              <w:spacing w:before="0" w:after="283"/>
              <w:jc w:val="left"/>
              <w:rPr/>
            </w:pPr>
            <w:hyperlink w:anchor="m_022">
              <w:r>
                <w:rPr>
                  <w:rStyle w:val="InternetLink"/>
                  <w:rFonts w:ascii="Times New Roman;Times;Serif" w:hAnsi="Times New Roman;Times;Serif"/>
                  <w:b w:val="false"/>
                  <w:i w:val="false"/>
                  <w:caps w:val="false"/>
                  <w:smallCaps w:val="false"/>
                  <w:sz w:val="20"/>
                </w:rPr>
                <w:t>Exhibits and Financial Statement Schedules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9050" w:type="dxa"/>
            <w:tcBorders/>
            <w:shd w:fill="FFFFFF" w:val="clear"/>
            <w:vAlign w:val="center"/>
          </w:tcPr>
          <w:p>
            <w:pPr>
              <w:pStyle w:val="TableContents"/>
              <w:bidi w:val="0"/>
              <w:spacing w:before="0" w:after="283"/>
              <w:jc w:val="left"/>
              <w:rPr/>
            </w:pPr>
            <w:hyperlink w:anchor="m_023">
              <w:r>
                <w:rPr>
                  <w:rStyle w:val="InternetLink"/>
                  <w:rFonts w:ascii="Times New Roman;Times;Serif" w:hAnsi="Times New Roman;Times;Serif"/>
                  <w:b w:val="false"/>
                  <w:i w:val="false"/>
                  <w:caps w:val="false"/>
                  <w:smallCaps w:val="false"/>
                  <w:sz w:val="20"/>
                </w:rPr>
                <w:t>Form 10-K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r>
      <w:tr>
        <w:trPr/>
        <w:tc>
          <w:tcPr>
            <w:tcW w:w="6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30" w:type="dxa"/>
            <w:gridSpan w:val="2"/>
            <w:tcBorders/>
            <w:shd w:fill="FFFFFF" w:val="clear"/>
            <w:vAlign w:val="center"/>
          </w:tcPr>
          <w:p>
            <w:pPr>
              <w:pStyle w:val="TableContents"/>
              <w:bidi w:val="0"/>
              <w:spacing w:before="0" w:after="283"/>
              <w:jc w:val="left"/>
              <w:rPr/>
            </w:pPr>
            <w:hyperlink w:anchor="m_024">
              <w:r>
                <w:rPr>
                  <w:rStyle w:val="InternetLink"/>
                  <w:rFonts w:ascii="Times New Roman;Times;Serif" w:hAnsi="Times New Roman;Times;Serif"/>
                  <w:b/>
                  <w:i w:val="false"/>
                  <w:caps w:val="false"/>
                  <w:smallCaps w:val="false"/>
                  <w:sz w:val="20"/>
                </w:rPr>
                <w:t>SIGNATURES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within the meaning of Section 27A of the Securities Act of 1933, as amended, and Section 21E of the Securities Exchange Act of 1934, as amended,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filing this annual report with the SEC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continued listing requirements of The Nasdaq Stock Market LLC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operating history and need for additional capital;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develop and commercialize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planned clinical trials for CTx-1301, CTx-1302, and CTx-2103;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New Drug Application (“NDA”) submissions for CTx-1301, CTx-1302, and CTx-2103;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regulatory approvals for CTx-1301, CTx-1302, CTx-2103, or any other future product candidate;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utility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commercialization, marketing and manufacturing capabilities and strategy;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strategic partnerships;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cash;</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 and projections relating to our competitors or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recruit, and retain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laws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time during which we will be an emerging growth company under the Jumpstart Our Business Startups Act of 2021 (the “JOBS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identify additional product candidates with significant commercial potential that are consistent with our commercial objectives;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revenue and expenses.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“Risk Factors” and “Management’s Discussion and Analysis of Financial Condition and Results of Operations” sections of this annual report for a discussion of important factors that may cause our actual results to differ materially from those expressed or implied by our forward-looking statements. We operate in an evolving environment and new risk factors and uncertainties may emerge from time to time. It is not possible for management to predict all risk factors and uncertainties. As a result of these factors, we cannot assure you that the forward-looking statements in this annual report will prove to be accurate. Except as required by applicable law, we do not plan to publicly update or revise any forward-looking statements contained herein, whether as a result of any new information, future events, changed circumstances or otherwise. You should review the factors and risks and other information we describe in the reports we will file from time to time with the SEC.</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D_001"/>
      <w:bookmarkEnd w:id="39"/>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800"/>
        <w:gridCol w:w="965"/>
      </w:tblGrid>
      <w:tr>
        <w:trPr/>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0" w:name="D_002"/>
            <w:bookmarkEnd w:id="40"/>
            <w:r>
              <w:rPr>
                <w:rFonts w:ascii="Times New Roman;Times;Serif" w:hAnsi="Times New Roman;Times;Serif"/>
                <w:b/>
                <w:i w:val="false"/>
                <w:caps w:val="false"/>
                <w:smallCaps w:val="false"/>
                <w:sz w:val="20"/>
              </w:rPr>
              <w:t xml:space="preserve">ITEM 1. </w:t>
            </w:r>
          </w:p>
        </w:tc>
        <w:tc>
          <w:tcPr>
            <w:tcW w:w="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using our proprietary Precision Timed Release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(“PTR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Attention Deficit/Hyperactivity Disorder (“ADHD”) and anxiety, we are identifying and evaluating additional therapeutic areas where our PTR technology may be employed to develop future product candidates. Our PTR platform incorporates a proprietary Erosion Barrier Layer (“EBL”) designed to allow for the release of drug substance at specific, pre-defined time intervals, unlocking the potential for once-daily, multi-dose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targeting the ADHD treatment market, with an estimated US market size of over $23 billion as of November 2023, of which $18.6 billion is attributable to stimulants. Stimulants are historically the most commonly prescribed class of medications for ADHD and accounted for approximately 88% of all ADHD medication prescriptions in the United States for the 12-months ended November 2023. By contrast, non-stimulant medications are typically employed only in the second-line or adjunctive therapy setting and accounted for approximately 12% of all ADHD medication prescriptions during that time. Extended-release, or long-acting, dosage forms of stimulant medications are most frequently deployed as the first-line treatment for ADHD and constituted approximately $16 billion of the overall ADHD market spend and accounting for 54% of all stimulant prescriptions for the 12-months ended November 2023. Most of these extended-release dosage forms are approved for once-daily dosing in the morning and were designed to eliminate the need for re-dosing during the day. However, with the current ‘once-daily’ extended-release dosage forms, most patients still receive a second or “booster” dose for administration later in the day (typically in the early afternoon) to achieve active-day coverage and suffer from a multitude of unwanted side effects as a result. We believe there is a significant, unmet need within the current treatment paradigm for true once-daily ADHD stimulant medications with a duration that provides entire active-day coverage combined with an improved side effect profile to better serve the numerous unmet needs of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two proprietary, first-line stimulant medications: CTx-1301 (dexmethylphenidate) and CTx-1302 (dextroamphetamine), are being developed for the treatment of ADHD across all three patient segments: children (ages 6 -12), adolescents (ages 13-17), and adults (ages 18+). Both CTx-1301 and CTx-1302 are designed to address the key shortcomings of currently approved stimulant therapies by: providing a near immediate onset of action (within 30 minutes); offering entire ‘active-day’ duration; eliminating the need for ‘booster/recovery’ doses of additional stimulant medications; minimizing or eliminating the rebound/crash symptoms associated with early medication ‘wear-off;’ and providing favorable tolerability with a controlled descent of drug blood levels. Furthermore, by eliminating the ‘booster’ dose, we believe our product candidates will provide important societal and economic benefits: reducing the abuse and diversion associated with short-acting stimulant medications; allowing physicians to prescribe one medication versus two; allowing patients to pay for one medication versus two; and allowing payers to reimburse one medication versus two.</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a proof-of-concept trial in human subjects to validate our PTR platform and in October 2020, announced positive results from a Phase 1/2 study of CTx-1301 in ADHD patients establishing tolerability, comparative bioavailability, and dose proportionality of CTx-1301 versus Focalin® XR. In order to meet the pharmacology requirement for the CTx-1301 NDA submission, we completed a food effect study in October 2022, which demonstrated that CTx-1301 can be taken with or without food. In addition, per FDA guidance, we completed a food effect study utilizing CTx-1301’s highest dosage strength, 50-mg, in December 2024. Final results from that study are expected by the end of April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3 adult dose-optimization study to assess the efficacy and safety, along with onset and duration, of CTx-1301 in adults with ADHD was initiated in December 2022 and completed in June 2023. Results were presented at the 2023 Psych Congress and were presented at the 2024 American Professional Society of ADHD and Related Disorders (“APSARD”) in January 2024. This Phase 3 CTx-1301study (NCT05631626) assessed efficacy and safety along with onset and duration of CTx-1301 in 21 adults (age range: 18-55 years) with ADHD in an adult laboratory classroom setting. The study did not achieve statistical significance on the primary efficacy endpoint but CTx-1301 demonstrated a trend toward significance in improving Permanent Product Measure of Performance (“PERMP”) scores compared to the placebo. Clinical Global Impression Scale (“CGI-S”) scores with CTx-1301 compared to placebo also showed significant improvements that were indeed statistically significant for this secondary endpoint. The treatment effect size of CTx-1301 in this trial was notable – starting at 30 minutes and demonstrated the ability of CTx-1301 to improve upon ADHD symptoms in patients over an entire active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initiated two CTx-1301 Phase 3 clinical studies in pediatric and adolescent patients- a fixed dose study (NCT05286762) and a dose-optimized onset and duration study in a laboratory classroom setting (NCT05924594) – in the third quarter of 2023. Based on written communication with the Food and Drug Administration (“FDA”) that further conduct of these pediatric and adolescent studies is not required for the submission of an NDA, we closed enrollment on both Phase 3 trials. We are performing the data consolidation and analytical activities for these trials. Appropriate data will be included in the 505(b)(2) NDA, which is targeted for a mid-2025 submission.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Societal CDMO, Inc., doing business as Bend Biosciences, a contract development and manufacturing organization (“CDMO”), will manufacture all clinical, registration, and commercial batches of our lead ADHD candidate, CTx-1301. Bend Bioscience produced a scalable supply of CTx-1301 for our Phase 3 trials in the manufacturing suite within Bend Bioscience’s Gainesville, GA facility that is outfitted with equipment supplied by us. Bend Bioscience is currently manufacturing additional CTx-1301 product candidate material in accordance with FDA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issued a European patent for CTx-1301 for the treatment of ADHD on August 14, 2024. The patent application will include up to 30 European territories, including the United Kingdom. We are awaiting prosecution of patents in the US and other geographies.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seeking strategic pharmaceutical partnerships under which we would license or co-promote CTx-1301 in the United States, internationally, or both. In March 2023, we entered into a joint commercialization agreement (the “Commercialization Agreement”) with Indegene, Inc. (“Indegene”) in the United States. We are able to utilize Indegene for commercialization services for CTx-1301, including marketing, sales, market access and on a fee for service basis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initiate the clinical plan for CTx-1302 (dextroamphetamine), our second investigational asset for the treatment of ADHD, as soon as 2026, pending additional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embarked on a program to develop CTx-2103 (buspirone), for the treatment of anxiety, which is one of the most common mental health concerns in the United States. We completed a formulation study in which the pharmacokinetics were evaluated for this trimodal tablet providing three precisely timed doses of buspirone versus one immediate release dose. In addition, scintigraphic imaging visualized transit of the tablets through the gastrointestinal tract to confirm both the site and onset of release, which will then be correlated with pharmacokinetic data to establish the full release profile of the CTx-2103 formulation. Based on the pharmacokinetic profile seen in the data, CTx-2103 achieved a triple release of buspirone. These results provided the critical information required to allow us to request a Pre-IND meeting with the FDA to discuss the design of our clinical and regulatory program for CTx-2103 which occurred in the fourth quarter of 2023. We received input from the FDA regarding the regulatory pathway for CTx-2103, and the design of clinical studies for filing of an IND. Based on this FDA feedback, we believe that we can seek and win approval of CTx-2103 under the 505(b)(2) pathway, which typically requires less time and resources than the 505(b)(1) full NDA pathway.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CTx-2103 is being designed as a novel, extended-release tablet of buspirone that incorporates our proprietary PTR™ drug delivery platform. Buspirone, an azapirone derivative and a 5-HT1A partial agonist, was the first non-benzodiazepine anxiolytic introduced for the treatment of generalized anxiety disorder. Buspirone may exhibit a decreased side-effect profile compared to other anxiolytic treatments. Unlike benzodiazepines and barbiturates, there is no associated risk of physical dependence or withdrawal with buspirone use due to the lack of effects on gamma-aminobutyric acid receptors. Furthermore, buspirone is not regulated as a controlled substance by DEA or under the Controlled Substances Act of 1970 (the “CSA”).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United States sales of buspirone in various forms accounted for over $2 billion of sales in the $5.2 billion anxiety market. CTx-2103 will be designed as a once-daily, modified-release tablet with clear differentiation and compelling advantages over standard treatment options which must be taken multiple times per day to maximize efficacy. We are in active license conversations and, pending a definitive agreement and additional capital resources, development of CTx-2103 (buspirone) for the treatment of anxiety may begin as soon as mid-2025 pending additional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PTR platform has the potential to provide patients and physicians with differentiated pharmaceutical treatment options that will enhance patient compliance and improve health outcomes in several additional therapeutic areas. We intend to leverage our PTR platform technology to expand and augment our clinical-stage pipeline by identifying and developing additional assets in other therapeutic areas where one or more active pharmaceutical ingredient (“APIs”) need to be delivered several times a day at specific, pre-defined time intervals and released in a manner that would offer significant improvement over existing therapies. Our criteria for the selection of additional, future pipeline candidates will include the potential for $1 billion or more in peak annual sales, the potential to deliver a clearly differentiated therapeutic advantage and the potential to overcome unmet medical needs. We will consider potential in-licensing of additional assets or out-licensing the PTR platform as those opportunities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Clinical Development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818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8181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be a leading, innovative biopharmaceutical company focused on the development, manufacturing and commercialization of next generation pharmaceutical products that utilize our PTR drug delivery platform technology to create dosing schedules and drug release profiles that will improve the lives of patients suffering from a multitude of frequently diagnosed conditions. Key initial elements of our business strategy to achieve this goal are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Complete development and obtain regulatory approval for CTx-1301 for the treatment of ADHD. </w:t>
            </w:r>
            <w:r>
              <w:rPr>
                <w:rFonts w:ascii="Times New Roman;Times;Serif" w:hAnsi="Times New Roman;Times;Serif"/>
                <w:b w:val="false"/>
                <w:i w:val="false"/>
                <w:caps w:val="false"/>
                <w:smallCaps w:val="false"/>
                <w:sz w:val="20"/>
              </w:rPr>
              <w:t>In October 2020, we announced positive results from a Phase 1/2 study of CTx-1301 in ADHD patients establishing tolerability, comparative bioavailability, and dose proportionality of CTx-1301 versus Focalin® XR. A Phase 3 adult dose-optimization study to assess the efficacy and safety, along with onset and duration, of CTx-1301 in adults with ADHD was initiated in December 2022 and completed in June 2023. Results were presented at the 2024 APSARD in January 2024. In addition, we initiated two CTx-1301 Phase 3 clinical studies in pediatric and adolescent patients- a fixed dose study and a dose-optimized onset and duration study in a laboratory classroom setting – in the third quarter of 2023. Based on written communication with the FDA that further conduct of these pediatric and adolescent studies is not required for the submission of an NDA, we closed enrollment on both Phase 3 trials. We are performing the data consolidation and analytical activities for these trials. In addition, per FDA guidance, we completed a food effect study utilizing CTx-1301’s highest dosage strength, 50-mg, in December 2024. Appropriate data will be included in the NDA, targeted for a mid-2025 submission.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Successfully commercialize CTx-1301</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We are actively seeking strategic pharmaceutical partnerships under which we would license or co-promote CTx-1301 in the United States, internationally, or both, to ensure successful commercial launches if we receive FDA approval for CTx-1301. Should we be unable to identify an appropriate pharmaceutical partnership, if we receive FDA approval for CTx-1301, pursuant to the Commercialization Agreement, Indegene would provide commercialization services for CTx-1301, including marketing, sales and market access on a fee for service basis. In addition, we are now focusing on third party logistics services to ensure commercial availability.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Advance clinical trials for CTx-2103 for the treatment of anxiety. </w:t>
            </w:r>
            <w:r>
              <w:rPr>
                <w:rFonts w:ascii="Times New Roman;Times;Serif" w:hAnsi="Times New Roman;Times;Serif"/>
                <w:b w:val="false"/>
                <w:i w:val="false"/>
                <w:caps w:val="false"/>
                <w:smallCaps w:val="false"/>
                <w:sz w:val="20"/>
              </w:rPr>
              <w:t xml:space="preserve">In September 2022, we announced that data from the human formulation study for CTx-2103 demonstrated its ability to deliver a single administration of triple-release buspirone. We will use these results to design the clinical program for CTx-2103, which will be designed as a once-daily, multi-dose tablet with what we believe will be clear differentiation and compelling advantages over standard treatment options. Development of CTx-2103 (buspirone) for the treatment of anxiety may begin as soon as mid-2025 pending additional capital resources.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Advance development of CTx-1302 for the treatment of ADHD. </w:t>
            </w:r>
            <w:r>
              <w:rPr>
                <w:rFonts w:ascii="Times New Roman;Times;Serif" w:hAnsi="Times New Roman;Times;Serif"/>
                <w:b w:val="false"/>
                <w:i w:val="false"/>
                <w:caps w:val="false"/>
                <w:smallCaps w:val="false"/>
                <w:sz w:val="20"/>
              </w:rPr>
              <w:t>We plan to initiate a clinical plan for CTx-1302 (dextroamphetamine), our second investigational asset for the treatment of ADHD, as soon as 2026 pending additional capital resources.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Maximize the potential of our PTR platform to develop additional product candidates in new indications with significant unmet medical need and billion-dollar revenue potential. </w:t>
            </w:r>
            <w:r>
              <w:rPr>
                <w:rFonts w:ascii="Times New Roman;Times;Serif" w:hAnsi="Times New Roman;Times;Serif"/>
                <w:b w:val="false"/>
                <w:i w:val="false"/>
                <w:caps w:val="false"/>
                <w:smallCaps w:val="false"/>
                <w:sz w:val="20"/>
              </w:rPr>
              <w:t>We intend to use our PTR drug delivery platform technology and the streamlined 505(b)(2) development pathway to develop additional therapeutic assets in other therapeutic areas where one or more active pharmaceutical ingredients need to be administered several times a day at specific, pre-defined time intervals and released in a manner that would offer significant improvement over existing therapies. We believe this will lead to improved patient compliance and better health outcomes. Further indications we intend to evaluate include insomnia, non-opioid pain, Alzheimer’s, hypothyroidism, psychosis, depression, cardiovascular disorders, Parkinson’s disease, migraine, oral oncology, xerostomia (dry mouth) and bipolar disorder, among others.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Acquire or in-license additional assets or programs to complement our portfolio and/or leverage our technology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We continuously evaluate potential partnering opportunities or asset acquisitions that can bolster our current product candidate portfolio and provide substantial value to our organization. We intend to focus on early to mid-stage development product candidates to generate clinical data and potentially move to later stages of development and ultimately on to commercialization.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Out-license our PTR platform to other companies and license our product candidates in the United States and internationally.</w:t>
            </w:r>
            <w:r>
              <w:rPr>
                <w:rFonts w:ascii="Times New Roman;Times;Serif" w:hAnsi="Times New Roman;Times;Serif"/>
                <w:b w:val="false"/>
                <w:i w:val="false"/>
                <w:caps w:val="false"/>
                <w:smallCaps w:val="false"/>
                <w:sz w:val="20"/>
              </w:rPr>
              <w:t xml:space="preserve"> We are actively seeking and evaluating opportunities to license our current assets and the PTR drug delivery platform technology to other companies looking to serve large patient populations with unmet needs and/or looking to transform multiple daily dosing to once daily administration to satisfy patient needs. We are also in on-going conversations to pursue and evaluate opportunities to license our product candidates to third parties for use in the United States and internationally.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Further strengthen our intellectual property portfolio</w:t>
            </w:r>
            <w:r>
              <w:rPr>
                <w:rFonts w:ascii="Times New Roman;Times;Serif" w:hAnsi="Times New Roman;Times;Serif"/>
                <w:b w:val="false"/>
                <w:i w:val="false"/>
                <w:caps w:val="false"/>
                <w:smallCaps w:val="false"/>
                <w:sz w:val="20"/>
              </w:rPr>
              <w:t>. We intend to continue to manage and expand our diverse intellectual property portfolio and maintain our trade secrets and know-how focused on our PTR platform, current and future pipeline candidates, and proprietary manufacturing process. We believe these activities will be critical to protect our platform and product candidates from potential competitors that may try to compete with our therapeutic assets and compression tableting approach.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Capitalize on our existing cGMP expertise.</w:t>
            </w:r>
            <w:r>
              <w:rPr>
                <w:rFonts w:ascii="Times New Roman;Times;Serif" w:hAnsi="Times New Roman;Times;Serif"/>
                <w:b w:val="false"/>
                <w:i w:val="false"/>
                <w:caps w:val="false"/>
                <w:smallCaps w:val="false"/>
                <w:sz w:val="20"/>
              </w:rPr>
              <w:t xml:space="preserve"> We have developed proprietary, reliable, high output, specialized manufacturing equipment with the potential for real-time testing and release that is employed by our third-party manufacturing partner. Our process has been designed to allow for the creation of a platform that can incorporate other drug substances thus permitting expansion into additional indications and therapeutic areas. We expect that our investment in these manufacturing capabilities and equipment will substantially reduce our development timelines and overall development costs for current and future assets. We currently utilize commercial manufacturing equipment and will not require technology transfer or large scale-up processes to meet clinical or commercial manufacturing needs. Bend Bioscience, our CDMO, will manufacture all clinical, registration, and commercial batches of our lead candidate CTx-1301. Bend Bioscience has dedicated a specific manufacturing suite within its Gainesville, GA facility which is outfitted with proprietary equipment supplied by us.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founders and management team have many years of experience in the biopharmaceutical space, holding management positions at leading biopharmaceutical companies, including Pfizer Inc., Novartis International AG, DuPont de Nemours, Inc. and Sanofi S.A., among others. Our team possesses substantial experience and expertise across the spectrum of drug development and commercialization of pharmaceutical products, including multiple psychiatric and nervous system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 our Co-Founder, Chairman and Chief Executive Officer, has held senior leadership roles at Pfizer Inc., Novartis International AG and Sanofi S.A. and has over 25 years of experience in drug development and commercialization. Dr. Matthew Brams, our Co-Founder and Chief Medical Officer, has over 30 years of clinical experience managing patients in the field of adult and child psychiatry and has been involved in the research, development, and evaluation of multiple ADHD medications. Dr. Raul R. Silva, our Co-Founder and Chief Science Officer, is a practicing child and adolescent psychiatrist who has served as Associate Professor and Vice Chairman of Child and Adolescent Psychiatry at NYU School of Medicine in New York City. Laurie A. Myers, our Chief Operating Officer, has held leadership positions for leading global pharmaceutical companies, including Pfizer Inc., Novartis International AG, DuPont de Nemours, Inc. and Sanofi S.A. and has over 30 years of experience in drug development, marketing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ADHD Overview and Drawbacks of Current Therapies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ADHD is a chronic neurobehavioral and developmental disorder that affects millions of children, adolescents and adults. In the United States, many of the children and adolescents aged 4-17 that have been diagnosed with ADHD demonstrate clinical ADHD symptoms that persist into adulthood. Adult ADHD prevalence in the United States is estimated to be significantly larger than the size of the child and adolescent segment combined. Total ADHD medication sales in the United States continue to grow with sales of all ADHD medications reaching over $23 billion for the 12-months ended November 2023.</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ADHD is marked by an on-going pattern of inattention and/or hyperactivity-impulsivity that interferes with functioning and/or development. According to the American Academy of Child and Adolescent Psychiatry, common manifestations of ADHD in children and adolescents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Hyperactivity</w:t>
      </w:r>
      <w:r>
        <w:rPr>
          <w:rFonts w:ascii="Times New Roman;Times;Serif" w:hAnsi="Times New Roman;Times;Serif"/>
          <w:b w:val="false"/>
          <w:i w:val="false"/>
          <w:caps w:val="false"/>
          <w:smallCaps w:val="false"/>
          <w:sz w:val="20"/>
        </w:rPr>
        <w:t>: Children always seem to be in motion. A child who is hyperactive may move around touching or playing with whatever is around, or talk continually. During story time or school lessons, the child might squirm around, fidget, or get up and move around the room. Some children wiggle their feet or tap their fingers. A teenager or adult who is hyperactive may feel restless and need to stay busy all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Impulsivity</w:t>
      </w:r>
      <w:r>
        <w:rPr>
          <w:rFonts w:ascii="Times New Roman;Times;Serif" w:hAnsi="Times New Roman;Times;Serif"/>
          <w:b w:val="false"/>
          <w:i w:val="false"/>
          <w:caps w:val="false"/>
          <w:smallCaps w:val="false"/>
          <w:sz w:val="20"/>
        </w:rPr>
        <w:t>: Children often blurt out comments without thinking first. They may often display their emotions without restraint. They may also fail to consider the consequences of their actions. Such children may find it hard to wait in line or take turns. Impulsive teenagers and adults tend to make choices that have a small immediate payoff rather than working toward larger delayed rewards.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Inattentiveness</w:t>
      </w:r>
      <w:r>
        <w:rPr>
          <w:rFonts w:ascii="Times New Roman;Times;Serif" w:hAnsi="Times New Roman;Times;Serif"/>
          <w:b w:val="false"/>
          <w:i w:val="false"/>
          <w:caps w:val="false"/>
          <w:smallCaps w:val="false"/>
          <w:sz w:val="20"/>
        </w:rPr>
        <w:t>: Inattentive children may quickly get bored with an activity if it’s not something they really enjoy. Organizing and completing a task or learning something new is difficult for them. As students, they often forget to write down a school assignment or bring a book home. Completing homework can be huge challenge. At any age, an inattentive person may often be easily distracted, make careless mistakes, forget things, have trouble following instructions, or skip from one activity to another without finishing anything.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Adult ADHD patients typically suffer from restlessness, impulsivity, difficulty with time management, trouble regulating emotions and difficulty managing finances. Adults with ADHD report experiencing an internal sense of fidgetiness and restlessness and experience greater difficulty communicating with others. Upon entering the job market, many adults have difficulty gaining employment and are at increased risk of termination due to repeated tardiness or absenteeism. Additionally, adults with ADHD are more likely to exhibit a variety of comorbidities including drug and alcohol abuse, social anxiety and depression.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ADHD in both children and adults has an impact not only on the individual but on their families, friends and peers and because of its prevalence as one of the most commonly diagnosed behavioral disorders, a critical impact on society, the healthcare system and the economy at large. On a societal level, versus control groups, ADHD patients have historically experienced a higher rate of vehicle accidents, divorce, incarceration, and accidental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no single medical, physical, or genetic test for ADHD, qualified mental health care professionals and physicians are able to provide a diagnostic evaluation after gathering information from multiple sources including ADHD symptom checklists, standardized behavior rating scales, detailed histories of past and current functioning, and information obtained from close family members or significant others. Some practitioners will also conduct tests of cognitive ability and academic achievement in order to rule out a possible learning disability.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Stimulants are historically the most commonly prescribed class of medications for ADHD, accounting for approximately 88% of all ADHD medication prescriptions during the 12-months ended November 2023. Stimulants are Schedule II controlled substances and are believed to work by enhancing the effects of dopamine and norepinephrine neurotransmitters in the brain. Approximately 82 million stimulant prescriptions were written during the 12-months ended November 2023. In contrast, non-stimulant medications are typically deployed as second line or adjunctive therapies and accounted for 12% of all ADHD medication prescriptions during that time. Currently, the ADHD market is dominated by four main stimulant medications: Vyvanse®, Adderall® XR, Concerta®, and Focalin® XR. These products were approved and became available between 2000 and 2007 and were believed to revolutionize the ADHD treatment paradigm by finally providing a solution to avoid the late morning second dose of stimulant medication then required by ADHD patients.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6800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68008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Unfortunately, as designed, all four of the mostly commonly prescribed stimulant drugs deliver all the drug substance during the morning hours. As a result, most patients still require additional medication to cover the remainder of their active day. Historically, a majority of ADHD patients have required an afternoon ‘booster/recovery’ dose due to lack of duration, slow onset of efficacy, and the crash or rebound effects in the early afternoon. Additionally, their PK-PD release profiles are such that they leave patients significantly impaired by crash and rebound effects even while on therapy.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Patients and practitioners report, that an ideal ADHD stimulant medication would provide </w:t>
      </w:r>
      <w:r>
        <w:rPr>
          <w:rFonts w:ascii="Times New Roman;Times;Serif" w:hAnsi="Times New Roman;Times;Serif"/>
          <w:b/>
          <w:i/>
          <w:caps w:val="false"/>
          <w:smallCaps w:val="false"/>
          <w:sz w:val="20"/>
        </w:rPr>
        <w:t xml:space="preserve">all </w:t>
      </w:r>
      <w:r>
        <w:rPr>
          <w:rFonts w:ascii="Times New Roman;Times;Serif" w:hAnsi="Times New Roman;Times;Serif"/>
          <w:b w:val="false"/>
          <w:i w:val="false"/>
          <w:caps w:val="false"/>
          <w:smallCaps w:val="false"/>
          <w:sz w:val="20"/>
        </w:rPr>
        <w:t>of the following characteristics: entire active-day duration; immediate onset of action (within 30 minutes); ability to minimize or avoid crash / rebound effects associated with rapid decline in medication blood levels; and elimination of the need for short-acting stimulant booster/recovery doses.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191250" cy="538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0" cy="53816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above is based upon the Package Inserts and Summary Basis of Approvals for the approved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5181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191250" cy="5181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above is based upon the Package Inserts and Summary Basis of Approvals for the approved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FDA has approved additional stimulant medications that were designed to meet some of the remaining unmet needs. Chewables, liquids and oral disintegrating tablets have come to market as has one product with an evening dosing schedule intended to provide early morning onset. None of these products have been able to meet all of the unmet needs of ADHD patients and prescribers and consequently all have failed to gain traction as first-line agents. Furthermore, these recent stimulant medications, based on their market share, appear to offer little advantage over widely available generic products for healthcare practitioners and their patients. They have proven to be niche remedies occupying a combined 2.0% of the total ADHD prescriptions written in the United States in 2020. Thus, there is an unmet need for a true once-daily dose providing a fast onset of action, minimization or elimination of the crash/rebound, elimination of the booster/recovery dose, and most importantly, providing entire ‘active-day’ efficacy.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191250" cy="6238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191250" cy="6238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above is based upon the Package Inserts and Summary Basis of Approvals for the approved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Solution: Our Proprietary Precision Timed Release Drug Delivery Platform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medications capable of achieving true once-daily dosing using our internally developed PTR drug delivery platform technology. Our CTx-1301, CTx-1302 and CTx-2103 drug candidates contain three releases of active pharmaceutical ingredient combined into one small tablet dosage form (smaller than many comparable single dose ADHD products). Each release of API is separated with a proprietary EBL, a functional excipient that is designed to gradually erode throughout the day to provide controlled drug release at specific time intervals, allowing for a favorable target efficacious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Illustration of Our PTR Platform Film-Coated Tablet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191250" cy="5210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191250" cy="52101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Size Comparison of CTx-1301 Tablet versus Common ADHD and Other Medications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6657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191250" cy="66579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PTR technology affords our drug candidates the following advantages over currently available ADHD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Fast Onset. </w:t>
      </w:r>
      <w:r>
        <w:rPr>
          <w:rFonts w:ascii="Times New Roman;Times;Serif" w:hAnsi="Times New Roman;Times;Serif"/>
          <w:b w:val="false"/>
          <w:i w:val="false"/>
          <w:caps w:val="false"/>
          <w:smallCaps w:val="false"/>
          <w:sz w:val="20"/>
        </w:rPr>
        <w:t>Many currently available therapies often take up to 60 minutes or longer to start working and thus can leave patients with long gaps between dosing and onset. In an effort to minimize this onset gap, patients will often wake up early to take their medication and attempt to go back to sleep until the medication takes effect. We have designed our drug candidates to be fast-acting so they can be taken in the morning when the patient starts their day, not predawn while they wait for onset.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Elimination of Need For Additional Stimulant Boosters. </w:t>
      </w:r>
      <w:r>
        <w:rPr>
          <w:rFonts w:ascii="Times New Roman;Times;Serif" w:hAnsi="Times New Roman;Times;Serif"/>
          <w:b w:val="false"/>
          <w:i w:val="false"/>
          <w:caps w:val="false"/>
          <w:smallCaps w:val="false"/>
          <w:sz w:val="20"/>
        </w:rPr>
        <w:t>With entire active-day coverage, we believe our technology will eliminate the need for patients to take afternoon booster doses when their currently prescribed therapies wear off. By eliminating the need for a booster dose, we believe our candidates will cause less embarrassment for patients, especially child and adolescent patients who are often forced to take a second dose while at school surrounded by classmates and increase patient compliance especially in the ADHD population where patients are prone to forget to take the additional dose they need to get through their active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Lower Abuse Potential. </w:t>
      </w:r>
      <w:r>
        <w:rPr>
          <w:rFonts w:ascii="Times New Roman;Times;Serif" w:hAnsi="Times New Roman;Times;Serif"/>
          <w:b w:val="false"/>
          <w:i w:val="false"/>
          <w:caps w:val="false"/>
          <w:smallCaps w:val="false"/>
          <w:sz w:val="20"/>
        </w:rPr>
        <w:t>We believe our fast onset and entire active-day solution for ADHD patients, if approved, will lower the incidence of short-acting stimulant drug abuse and diversion. We believe by eliminating the need for the short-acting stimulant booster dose, the potential for illicit sales and recreational use that often comes as a result of patients carrying short-acting Schedule II controlled substances to school or work for afternoon dosing will decrease.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Elimination Crash and Rebound Symptoms. </w:t>
      </w:r>
      <w:r>
        <w:rPr>
          <w:rFonts w:ascii="Times New Roman;Times;Serif" w:hAnsi="Times New Roman;Times;Serif"/>
          <w:b w:val="false"/>
          <w:i w:val="false"/>
          <w:caps w:val="false"/>
          <w:smallCaps w:val="false"/>
          <w:sz w:val="20"/>
        </w:rPr>
        <w:t>Patients on currently available therapies may report adverse effects or a flare of ADHD symptoms as their medications wear off; these effects are termed “crash” and “rebound.” Using our precise timing, ratio, and style of drug delivery, we believe our candidates provide a controlled descent of blood levels, eliminating this uncomfortable experience for patients</w:t>
      </w:r>
      <w:r>
        <w:rPr>
          <w:rFonts w:ascii="Times New Roman;Times;Serif" w:hAnsi="Times New Roman;Times;Serif"/>
          <w:b w:val="false"/>
          <w:i/>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Lower Cost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By providing entire active-day efficacy, our drug candidates eliminate the need for doctors to prescribe more than one medication lowering the overall cost of the condition to individual patients and within the healthcare system at large. Furthermore, generic medications in the stimulant ADHD category are not tremendously less expensive as they are in other categories of non-controlled medications. Generic stimulant medications cost anywhere from 55%-90% of the cost of their brand counterparts. We believe, if approved, our drug candidates will offer a much more cost-effective solution to patients.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Significantly Improved Tolerability.</w:t>
      </w:r>
      <w:r>
        <w:rPr>
          <w:rFonts w:ascii="Times New Roman;Times;Serif" w:hAnsi="Times New Roman;Times;Serif"/>
          <w:b w:val="false"/>
          <w:i w:val="false"/>
          <w:caps w:val="false"/>
          <w:smallCaps w:val="false"/>
          <w:sz w:val="20"/>
        </w:rPr>
        <w:t xml:space="preserve"> Because of the PK and PD profile of our drug, we believe patients will experience fewer treatment related adverse events associated with existing stimulant therapies including insomnia, appetite suppression, and feelings of extreme restlessness, dysphoria, irritability, fatigue, and flattening of affect.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Availability in Eight Dosage Strengths at Launch and Single-Enantiomer API Selection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Our CTx-1301 and CTx-1302 product candidates are both round film-coated tablets that we intend to provide in eight matching dosage strengths. We believe providing practitioners with the ability to properly titrate and optimize their patients’ daily dosing needs is critical. By having eight dosage strengths at launch, practitioners will not have to constantly switch their patients to other medications or supplement patients with more short-acting booster medications. In addition, we believe that eight dosage strengths will allow healthcare practitioners to appropriately treat the range of patients in their practice, from early childhood through adulthood. Medications that have launched with three dosage strengths are often ignored or avoided until at least six or seven strengths are available. Both CTx-1301 and CTx-1302 contain APIs that are Schedule II controlled substances. The APIs of both product candidates utilize just one of the multiple enantiomers, which may result in improvements in potency, adverse events (Aes), and drug interactions profiles along with an enhanced therapeutic index.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Lead Candidate CTx-1301: Dexmethylphenidate for the Treatment of ADHD in 6 Years and 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most advanced drug product candidate, CTx-1301, will be the first true once-daily dexmethylphenidate tablet for the treatment of ADHD, providing onset-of-action within 30 minutes and entire ‘active-day’ efficacy. CTx-1301 is a trimodal extended-release tablet, based on tablet-in-tablet technology, which provides three distinguishing releases of dexmethylphenidate hydrochloride at precise times, ratio, and modality of release. Our CTx-1301 release profile is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#1: An initial immediate-release, or IR, dose providing 35% of the total daily dose beginning within five to six minutes after administration and designed to achieve therapeutic efficacy within 30 minutes;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#2: Three hours after the administration of the dosage form, the first delayed, sustained release (DR1) provides 45% of the total daily dose released over 90 minutes;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#3: Seven hours after the administration of the dosage form, a second delayed, immediate release (DR2, the built-in-booster) provides 20% of the total daily dose released over approximately 30 minutes.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Release Comparison of CTx-1301 versus Focalin XR (Reference Listed Drug)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6591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65913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trimodal release profile is engineered to provide patients with a rapid onset of relief from symptoms and to maintain that relief throughout the entire active day. Further, we believe CTx-1301 will continue to demonstrate a more favorable tolerability profile that results from this specialized three-release design and unique 35%-45%-20% release profile, compared to the currently available 50%-50% or 33%-33%-33% release profile that would be produced if a patient were to take three individual doses of dexmethylphenidate in the same milligram strengths. CTx-1301 delivers a release profile that cannot be replicated with commercially available (branded or generic) short and long-acting formulations and was precisely engineered and designed to meet the specific needs of ADHD patients and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CTx-1301 film-coated tablets to be available in eight dosage strengths ranging from 6.25mg to 50mg of dexmethylphenidate. All excipients are compendial and/or non-novel, well established for use in oral formulations, and are present in the drug product at levels well below their maximum potencies listed in FDA’s inactive ingredient database (“IID”).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CTx-1301 Clinical Development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clinical program for CTx-1301 consists of two Phase 1/2 clinical pharmacology studies and our Phase 3 Mastery clinical efficacy and safety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Phase 1/2 Bioavailability Trial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we announced positive results from a Phase 1/2 comparative bioavailability study in ADHD subjects, under fasted conditions, and demonstrated similar bioavailability to our RLD, Focalin XR. Adjusted geometric mean ratios of primary exposure parameters (C</w:t>
      </w:r>
      <w:r>
        <w:rPr>
          <w:rFonts w:ascii="Times New Roman;Times;Serif" w:hAnsi="Times New Roman;Times;Serif"/>
          <w:b w:val="false"/>
          <w:i w:val="false"/>
          <w:caps w:val="false"/>
          <w:smallCaps w:val="false"/>
          <w:position w:val="-2"/>
          <w:sz w:val="16"/>
          <w:sz w:val="20"/>
        </w:rPr>
        <w:t>max</w:t>
      </w:r>
      <w:r>
        <w:rPr>
          <w:rFonts w:ascii="Times New Roman;Times;Serif" w:hAnsi="Times New Roman;Times;Serif"/>
          <w:b w:val="false"/>
          <w:i w:val="false"/>
          <w:caps w:val="false"/>
          <w:smallCaps w:val="false"/>
          <w:sz w:val="20"/>
        </w:rPr>
        <w:t>, AUC</w:t>
      </w:r>
      <w:r>
        <w:rPr>
          <w:rFonts w:ascii="Times New Roman;Times;Serif" w:hAnsi="Times New Roman;Times;Serif"/>
          <w:b w:val="false"/>
          <w:i w:val="false"/>
          <w:caps w:val="false"/>
          <w:smallCaps w:val="false"/>
          <w:position w:val="-2"/>
          <w:sz w:val="16"/>
          <w:sz w:val="20"/>
        </w:rPr>
        <w:t>0-inf</w:t>
      </w:r>
      <w:r>
        <w:rPr>
          <w:rFonts w:ascii="Times New Roman;Times;Serif" w:hAnsi="Times New Roman;Times;Serif"/>
          <w:b w:val="false"/>
          <w:i w:val="false"/>
          <w:caps w:val="false"/>
          <w:smallCaps w:val="false"/>
          <w:sz w:val="20"/>
        </w:rPr>
        <w:t>, and AUC</w:t>
      </w:r>
      <w:r>
        <w:rPr>
          <w:rFonts w:ascii="Times New Roman;Times;Serif" w:hAnsi="Times New Roman;Times;Serif"/>
          <w:b w:val="false"/>
          <w:i w:val="false"/>
          <w:caps w:val="false"/>
          <w:smallCaps w:val="false"/>
          <w:position w:val="-2"/>
          <w:sz w:val="16"/>
          <w:sz w:val="20"/>
        </w:rPr>
        <w:t>last</w:t>
      </w:r>
      <w:r>
        <w:rPr>
          <w:rFonts w:ascii="Times New Roman;Times;Serif" w:hAnsi="Times New Roman;Times;Serif"/>
          <w:b w:val="false"/>
          <w:i w:val="false"/>
          <w:caps w:val="false"/>
          <w:smallCaps w:val="false"/>
          <w:sz w:val="20"/>
        </w:rPr>
        <w:t>) between CTx-1301 and Focalin XR were within the required 80% to 125% range, both at the high and the low doses, demonstrating a bridge to the RLD as well as dose proportionality. There were no unexpected adverse events, no serious adverse events, no deaths, and no other safety signals observed during this study.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Findings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Bridged to Focalin® XR</w:t>
      </w:r>
    </w:p>
    <w:p>
      <w:pPr>
        <w:pStyle w:val="TextBody"/>
        <w:bidi w:val="0"/>
        <w:spacing w:before="0" w:after="0"/>
        <w:ind w:left="0" w:right="0" w:firstLine="72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similar bioavailability to Focalin XR and confirmation of our ability to utilize the 505(b)2 pathway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Demonstrated dose proportionality, allowing us to avoid the need to evaluate all individual strengths </w:t>
            </w:r>
            <w:r>
              <w:rPr>
                <w:rFonts w:ascii="Times New Roman;Times;Serif" w:hAnsi="Times New Roman;Times;Serif"/>
                <w:b w:val="false"/>
                <w:i/>
                <w:caps w:val="false"/>
                <w:smallCaps w:val="false"/>
                <w:sz w:val="20"/>
              </w:rPr>
              <w:t>in vivo</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Eliminated any requirement for nonclinical studies and ability to utilize existing safety from the Focalin XR label, potentially resulting in a faster pathway to market</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Demonstrated Plasma Levels versus Focalin® XR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CTx-1301 blood levels demonstrated the potential for a fast onset, active-day duration, and favorable tolerability.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as designed, with its precise 20% ‘built-in-booster’ 3rd delivery confirming that if approved, CTx-1301 would eliminate patients need for short-acting stimulants and avoid the potential for non-ideal blood levels that could impact normal sleep and appetite</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Demonstrated Controlled Descent of Plasma Levels versus Focalin® XR</w:t>
      </w:r>
    </w:p>
    <w:p>
      <w:pPr>
        <w:pStyle w:val="TextBody"/>
        <w:bidi w:val="0"/>
        <w:spacing w:before="0" w:after="0"/>
        <w:ind w:left="0" w:right="0" w:firstLine="72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Precise 20% 3rd delivery stopped the mid-afternoon plummeting of blood levels, controlling the decline.</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Demonstrated Significantly Lower Treatment Emergent Adverse Events</w:t>
      </w:r>
    </w:p>
    <w:p>
      <w:pPr>
        <w:pStyle w:val="TextBody"/>
        <w:bidi w:val="0"/>
        <w:spacing w:before="0" w:after="0"/>
        <w:ind w:left="0" w:right="0" w:firstLine="72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received 25% more medication via the PTR Platform in a precisely timed, unique ratio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CTx-1301 patients experienced a 28.6% reduction of TEAE’s related to study drug versus Focalin XR</w:t>
            </w:r>
          </w:p>
        </w:tc>
      </w:tr>
    </w:tbl>
    <w:p>
      <w:pPr>
        <w:pStyle w:val="TextBody"/>
        <w:bidi w:val="0"/>
        <w:spacing w:before="0" w:after="0"/>
        <w:ind w:left="180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comparative bioavailability data study versus Focalin XR is presented in Figure 1, Figure 2, and Figure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 Comparative Bioavailability Study of CTx-1301 versus Focalin XR in Adult ADHD subjects under Fasted Conditions (low dose comparison)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6562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191250" cy="65627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 Comparative Bioavailability Study of CTx-1301 versus Focalin XR in Adult ADHD subjects under Fasted Conditions (high dose)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5915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191250" cy="5915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3: Comparative Bioavailability Study of CTx-1301 versus Focalin XR in individual Adult ADHD subjects under Fasted Conditions (low and high dose)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6534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191250" cy="6534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Two Additional Phase 1 Studies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a Phase 1 Food Effect study in October 2022 utilizing a 25-mg dosage strength and a second Phase 1 Food Effect study in December 2024 utilizing our highest dosage strength of 50-mg. Primary endpoints demonstrated that at 25-mg, CTx-1301 can be taken with or without food. Analysis of the second study is ongoing. Safety results are being compiled for presentation to the FDA at a Pre-NDA meeting, with final results expected to be available by the end of April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020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Fast-Fed Studies</w:t>
            </w:r>
          </w:p>
        </w:tc>
      </w:tr>
      <w:tr>
        <w:trPr/>
        <w:tc>
          <w:tcPr>
            <w:tcW w:w="10205" w:type="dxa"/>
            <w:gridSpan w:val="2"/>
            <w:tcBorders/>
            <w:vAlign w:val="center"/>
          </w:tcPr>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CTx-1301-003</w:t>
            </w:r>
          </w:p>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Phase 1, open-label, randomized, single-dose, two-period, two-treatment (fed vs fasted), two-sequence, crossover study in 23 healthy adult subjects, 18-50 years of age, to assess the effect of food on the absorption and bioavailability of CTx-1301</w:t>
            </w:r>
            <w:r>
              <w:rPr>
                <w:rFonts w:ascii="Times New Roman;Times;Serif" w:hAnsi="Times New Roman;Times;Serif"/>
                <w:b w:val="false"/>
                <w:i w:val="false"/>
                <w:caps w:val="false"/>
                <w:smallCaps w:val="false"/>
                <w:sz w:val="20"/>
              </w:rPr>
              <w:t>. The objectives of this study were to assess the effect of food on the rate and extent of absorption and the overall bioavailability of a single dose of CTx-1301. Secondary objectives were to provide pharmacokinetic data on blood plasma levels of CTx-1301 in both a fasted and fed state, and to evaluate the safety of a single dose of CTx-1301 25 mg tablet. Exploratory objectives were to further explore the characteristics of CTx-1301 25 mg tablet within selected time intervals.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CTX-1301-013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Phase I open-label, randomized, single-dose, two-period, two-treatment (Fed vs. Fasted), two-sequence, crossover study in healthy adult subjects to assess the effect of food on bioavailability of CTx-1301 (dexmethylphenidate).</w:t>
            </w:r>
            <w:r>
              <w:rPr>
                <w:rFonts w:ascii="Times New Roman;Times;Serif" w:hAnsi="Times New Roman;Times;Serif"/>
                <w:b w:val="false"/>
                <w:i w:val="false"/>
                <w:caps w:val="false"/>
                <w:smallCaps w:val="false"/>
                <w:sz w:val="20"/>
              </w:rPr>
              <w:t xml:space="preserve"> The objectives of this study were to assess the effect of food on the rate and extent of the overall bioavailability of a single dose of CTx-1301 50 mg trimodal tablet. Secondary objectives were to provide pharmacokinetic data on blood plasma levels of d-MPH both in a fasted and fed state as well as to evaluate the safety of CTx-130150 mg trimodal tablet. Exploratory objectives to further explore the characteristics of CTx-1301 50 mg trimodal product within selected time intervals.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Phase 3 MASTERY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3 adult dose-optimization study to assess the efficacy and safety, along with onset and duration, of CTx-1301 in adults with ADHD was initiated in December 2022 and completed in June 2023. Results were presented at the 2023 Psych Congress and will be presented at the 2024 American Professional Society of ADHD and Related Disorders (APSARD) in January 2024. This Phase 3 CTx-1301study (NCT05631626) assessed efficacy and safety along with onset and duration of CTx-1301 in 21 adults (age range: 18-55 years) with ADHD in an adult laboratory classroom setting. It did not achieve statistical significance on the primary efficacy endpoint but CTx-1301 demonstrated a trend toward significance in improving PERMP scores compared to placebo. CGI-S scores with CTx-1301 compared to placebo also showed significant improvements that were indeed statistically significant for this secondary endpoint. The treatment effect size of CTx-1301 in this trial was notable – starting at 30 minutes and demonstrated the ability of CTx-1301 to improve upon ADHD symptoms in patients over an entire active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Key Findings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PERMP is a skill-adjusted math test deployed in this Phase 3 study. The PERMP score is the sum of the number of math problems attempted plus the number of math problems answered correctly in a 10-minute session. The scores range from 0-800 with higher scores indicating better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8410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191250" cy="84105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CGI-S is a single-item scale that measures the severity of psychopathology from 1-7 and was measured during this Phase 3 study in adults.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4686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857500" cy="46863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RPCP: Randomized Double-Blind Placebo Controlled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AISRS, or ADHD Rating Scale is an 18-item scale based on Diagnostic and Statistical Manual of Mental Disorders, 5th edition (DSM-5) (American Psychiatric Association 2013) which evaluates the criteria of ADHD and rates symptoms on a 4-point scale and was also measured in this adult study. Each item is scored using a combination of severity and frequency ratings from zero (reflecting no symptoms or a frequency of never or rarely) to three (reflecting severe symptoms or a frequency of very often), so that the total AISRS-5 scores range from zero to 54.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65151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857500" cy="65151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Phase 3 CTx-1301 diagnostic tools and ADHD evaluations including the AISRS-5, the CGI-S, and the PERMP are commonly used as study endpoints in support of an NDA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Phase 3 CTx-1301 clinical safety and efficacy studies also include two child and adolescent studies which were initiated in the third quarter of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Phase 3, dose-optimized, randomized, double-blind, placebo-controlled, single-center, parallel-group efficacy and safety laboratory classroom study in</w:t>
            </w:r>
            <w:r>
              <w:rPr>
                <w:rFonts w:ascii="Times New Roman;Times;Serif" w:hAnsi="Times New Roman;Times;Serif"/>
                <w:b w:val="false"/>
                <w:i w:val="false"/>
                <w:caps w:val="false"/>
                <w:smallCaps w:val="false"/>
                <w:sz w:val="20"/>
              </w:rPr>
              <w:t xml:space="preserve"> children (6-12) with ADHD. The primary objective is to evaluate the efficacy of CTx-1301 compared to placebo in treating children with ADHD in a laboratory classroom study using the PERMP. Secondary objectives are to determine onset and duration of clinical effect of CTx-1301 and to determine safety and tolerability of CTx-1301 compared to placebo.</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Phase 3, randomized, double-blind, placebo-controlled, multi-center, fixed-dose, parallel-group, efficacy and safety study in children and adolescent (6-17 y/o) with ADHD.</w:t>
            </w:r>
            <w:r>
              <w:rPr>
                <w:rFonts w:ascii="Times New Roman;Times;Serif" w:hAnsi="Times New Roman;Times;Serif"/>
                <w:b w:val="false"/>
                <w:i w:val="false"/>
                <w:caps w:val="false"/>
                <w:smallCaps w:val="false"/>
                <w:sz w:val="20"/>
              </w:rPr>
              <w:t xml:space="preserve"> The primary objective is to evaluate the efficacy of a fixed dose of CTx-1301 compared to placebo using the ADHD-RS-5. Secondary objectives are to evaluate the efficacy of a fixed dose of CTx-1301 compared to placebo using the CGI-S, safety and tolerability of a fixed dose of CTx-1301, and PK levels after a single dose and at steady state.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studies, in particular the safety endpoints, are currently being analyzed in preparation for a Pre-NDA meeting that is scheduled for April 2,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Exploratory objectives will be evaluated in the adult dose-optimization study to define and evaluate the unique benefits and satisfaction of optimized treatment with CTx-1301 against prior therapies using patient reported outcomes (“PROs”). The PRO evaluation will include: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required use of “booster” doses for entire active-day efficacy, avoidance of wear-off effect, crash/rebound, and abuse/diversion of short-acting stimulants.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 overall treatment satisfaction of prior therapies versus CTx-1301.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Compare adverse events of prior therapies versus CTx-1301.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importance of a true, once-daily treatment for ADHD.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incidence of abuse and/or diversion of short-acting booster doses.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important differentiators for patients requiring ADHD treatment by providing a complete solution with entire active-day efficacy, fast onset of action, avoiding crash/rebound, and eliminating the required short-acting stimulant booster/recovery dose.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exploratory measures will not only provide critical information for clinicians but also provide important data to payers and market access teams.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guidance received from the FDA regarding our clinical program for CTx-1301, we stopped enrollment in these two studies. We are performing the data consolidation and analytical activities for these trials. All enrolled patients in these studies have completed the study and data will be reported as directed by the FDA. Additionally, based on this guidance, we expect to submit the NDA for CTx-1301 in mid-2025 under the Section 505(b)(2) pathway with Focalin® XR as the reference listed drug, using its efficacy and safety data on file with the FDA as a basis for approval, together with bioavailability/bioequivalence data and efficacy/safety data from our CTx-1301 clinical program. If we receive FDA approval for CTx-1301, we may conduct Phase 4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CTx-1302: Dextroamphetamine for the treatment of ADHD in 6 years and 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drug product candidate CTx-1302, will be the first true once-daily dextroamphetamine tablet for the treatment of ADHD, providing onset-of-action within 30 minutes and efficacy for the entire active day. CTx-1302 is a trimodal extended-release tablet, based on tablet-in-tablet technology, that provides three releases of dextroamphetamine at precise times, ratio, and modality of release. Our CTx-1302 release profile 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#1: An initial immediate-release, or IR, dose providing 45% of the total daily dose begins within five to six minutes after administration is designed to achieve therapeutic efficacy within 30 minutes;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#2: Three hours after the administration of the dosage from, the DR1 provides 35% of the total daily dose released over 90 minutes;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#3: Seven hours after the administration of the dosage form, a DR2, the built-in-booster provides 20% of the total daily dose released over approximately 30 minutes.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CTx-1302 tablets will be available in eight dosage strengths ranging from 6.25mg to 50mg of dextroamphetamine. All excipients are compendial and/or non-novel, well established for use in oral formulations, and are present in the drug product at levels well below their maximum potencies listed in FDA’s IID.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CTx-1302 Clinical Development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proposed clinical program for CTx-1302 consists of Phase 1/2 clinical pharmacology studies and Phase 3 clinical efficacy and safety trials. We plan to initiate a Phase 1/2 bioavailability study in ADHD patients for CTx-1302 and, if the results from this study are successful, subsequently initiate pivotal Phase 3 clinical trials, the branded ACCOMPLISH trials, the timing of which is all dependent on additional capital resources. Our Phase 1/2 trials are expected to include approximately 100 patients and the Phase 3 clinical plan will include approximately 500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Planned Phase 1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proposed Phase 1 CTx-1302 clinical pharmacology studies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1/2 Comparative Bioavailability Study:</w:t>
            </w:r>
            <w:r>
              <w:rPr>
                <w:rFonts w:ascii="Times New Roman;Times;Serif" w:hAnsi="Times New Roman;Times;Serif"/>
                <w:b w:val="false"/>
                <w:i w:val="false"/>
                <w:caps w:val="false"/>
                <w:smallCaps w:val="false"/>
                <w:sz w:val="20"/>
              </w:rPr>
              <w:t xml:space="preserve"> To evaluate and compare the pharmacokinetic profile of CTx-1302 to the RLD, Dexedrine Spansule in adults with ADHD (18+ y/o).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1 Food Effect Study:</w:t>
            </w:r>
            <w:r>
              <w:rPr>
                <w:rFonts w:ascii="Times New Roman;Times;Serif" w:hAnsi="Times New Roman;Times;Serif"/>
                <w:b w:val="false"/>
                <w:i w:val="false"/>
                <w:caps w:val="false"/>
                <w:smallCaps w:val="false"/>
                <w:sz w:val="20"/>
              </w:rPr>
              <w:t xml:space="preserve"> To evaluate the pharmacokinetic profile of CTx-1302 under fed and fasted conditions in adults (18+ y/o).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1 Single-Dose, Fully-Replicate Crossover Study:</w:t>
            </w:r>
            <w:r>
              <w:rPr>
                <w:rFonts w:ascii="Times New Roman;Times;Serif" w:hAnsi="Times New Roman;Times;Serif"/>
                <w:b w:val="false"/>
                <w:i w:val="false"/>
                <w:caps w:val="false"/>
                <w:smallCaps w:val="false"/>
                <w:sz w:val="20"/>
              </w:rPr>
              <w:t xml:space="preserve"> To evaluate the intra-subject variability of the in vivo pharmacokinetic profile of CTx-1302 to the RLD, Dexedrine Spansule in adults (18+ y/o).</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 Phase 3 ACCOMPLISH Trials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 Phase 3, fixed-dose, parallel-design, placebo-controlled, 5-week study in children and adolescent patients (6-17 y/o). </w:t>
            </w:r>
            <w:r>
              <w:rPr>
                <w:rFonts w:ascii="Times New Roman;Times;Serif" w:hAnsi="Times New Roman;Times;Serif"/>
                <w:b w:val="false"/>
                <w:i w:val="false"/>
                <w:caps w:val="false"/>
                <w:smallCaps w:val="false"/>
                <w:sz w:val="20"/>
              </w:rPr>
              <w:t>The primary efficacy endpoint is the ADHD-RS-5. The Clinical Global Improvement Severity Scale (CGI-S) will be evaluated as a secondary endpoint.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 Phase 3, analog workplace efficacy and safety study in adults (18+): </w:t>
            </w:r>
            <w:r>
              <w:rPr>
                <w:rFonts w:ascii="Times New Roman;Times;Serif" w:hAnsi="Times New Roman;Times;Serif"/>
                <w:b w:val="false"/>
                <w:i w:val="false"/>
                <w:caps w:val="false"/>
                <w:smallCaps w:val="false"/>
                <w:sz w:val="20"/>
              </w:rPr>
              <w:t>The primary efficacy endpoint is the PERMP. Time to onset and duration of effect will also be evaluated as key secondary endpoints.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long-term dose-optimization safety study will evaluate safety of the pediatric population (6-17 y/o) for six months.</w:t>
            </w:r>
            <w:r>
              <w:rPr>
                <w:rFonts w:ascii="Times New Roman;Times;Serif" w:hAnsi="Times New Roman;Times;Serif"/>
                <w:b w:val="false"/>
                <w:i w:val="false"/>
                <w:caps w:val="false"/>
                <w:smallCaps w:val="false"/>
                <w:sz w:val="20"/>
              </w:rPr>
              <w:t xml:space="preserve"> This study will collect and monitor any adverse events that occur during the timeframe of the study.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exploratory endpoints included in the analog Phase 3 protocols will define and evaluate the unique benefits and satisfaction of optimized treatment with CTx-1302 against prior therapies using PROs similar to those from the CTx-1301 Phase 3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505(b)(2) NDA filing for CTx-1302 will use Dexedrine® Spansule® as a reference drug, using as a basis for approval that drug’s efficacy and safety data on file at FDA, together with bioavailability/bioequivalence data and efficacy/safety data from our CTx-1302 clinical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complete Phase 3 safety and efficacy studies package will be required for CTx-1302 we can expect that similar diagnostic tools and ADHD evaluations including the ADHD-RS-5, the CGI-S, and the PERMP will be incorporated as in CTx-1301. However, based on our current knowledge about the clinical program for CTx-1301, we may again approach the FDA for their guidance on an alternate, more cost and time efficient approach for CTx-1302.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CTx-2103: Buspirone product candidate for the treatment of anxiety related disorders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embarked on a program to develop CTx-2103 (buspirone) for the treatment of anxiety, which is the most common mental health concern in the United States We believe CTx-2103 has the potential to be the first once-daily formulation of buspirone, one of the most widely prescribed agents in the anxiety market. CTx-2103 is a novel, extended-release tablet that contains the active pharmaceutical ingredient buspirone hydrochloride, a non-benzodiazepine medication, for which there is no evidence of the development or risk of dependency. However, due to its short half-life, buspirone is prescribed to be taken several times a day for management of anxiety, which can be challenging for patients and may lead to sub-optimal treatment outcomes. CTx-2103 will be designed as a once-daily, multi-dose tablet, which we believe will offer clear differentiation and compelling advantages over currently available treatment options.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CTx-2103 Clinical Development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we completed a human formulation study for CTx-2103. The first human subject study of CTx-2103 was a single-center, open-label, four-arm crossover study in 10 healthy subjects. Each participant received four different doses of buspirone at different assessment visits: one timed-release 10mg tablet releasing drug after a four-hour delay, one timed-release 10mg tablet releasing drug after an eight-hour delay, one triple-pulse 10mg tablet releasing drug at zero, four and eight hours, and one immediate release 10mg tablet of generic buspirone (the reference product, which is a commercially available formulation).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was to evaluate the absorption of buspirone and the presence of metabolite 1-pyrimidinylpiperazine (1-PP) in blood plasma from time-delayed formulations and correlate this with scintigraphic time and site of release data. Secondary objectives of the study will compare the pharmacokinetic performance of the time delayed buspirone products with a commercially available formulation. Additionally, the study will evaluate the absorption of buspirone and the presence of metabolite 1-PP in blood plasma from a triple-release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evaluations demonstrated that CTx-2103 is safe and well tolerated. No serious, severe, or clinically meaningful treatment-emergent adverse events (“TEAEs”) occurred during this study. Most TEAEs were mild in severity and were consistent with events expected for buspirone. The evaluation of TEAEs, laboratory examinations, physical examinations, ECG recordings, and measurement of vital signs (blood pressure and pulse rate) revealed no safety concerns for buspirone.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pharmacokinetic profile seen in the data from the formulation study, CTx-2103 achieved a triple release of buspirone hydrochloride The positive results from this human formulation study provided the critical information needed for us to request a Pre-IND meeting with the FDA to discuss the design of our clinical and regulatory program for CTx-2103. The Pre-IND meeting occurred in the fourth quarter of 2023. We received input from the FDA regarding the regulatory pathway for CTx-2103, and the design of clinical studies for filing of an IND. Based on the FDA’s feedback, CTx-2103 may be able to seek and win approval under the 505(b)(2) pathway, which typically requires less time and resources than the 505(b)(1) full NDA pathway.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we entered into the Commercialization Agreement with Indegene for the go-to-market activities and launch of CTx-1301 in the United States. Upon FDA approval for CTx-1301, at Cingulate’s direction, Indegene would provide commercialization services for CTx-1301 pursuant to statements of work that will set forth, among other things, the services to be performed by Indegene, the deliverables for such services and the fees to be paid by us. Key services that Indegene is expected to provide, include: (a) medical affairs &amp; pharmacovigilance; (b) pricing, reimbursement and market access; (c) commercial operations; and (d) marketing (including field force). See “Material Agreements – Joint Commercialization Agreement with Indegene, Inc.” below. Cingulate does not have or expect to build a large internal sales, marketing, or distribution infrastructure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would expect to use multi-channel tactics, including non-personal strategies, to reach physicians, payers, patients and patient caregivers with the right frequency to help drive behavior. In addition to personal promotion, we intend to reach physicians through medical education, direct marketing, journal advertising and electronic health record communication. Advocacy groups, patients and caregivers are extremely active and vocal in the ADHD space. We expect that a direct-to-patient strategy would allow us to access this social group through focused education and advertising, as well as by employing appropriate social media listening and engagement to inform these patients and caregivers.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seeking a strategic pharmaceutical partnership under which we would license or co-promote CTx-1301 in the United States, internationally, or both, to ensure successful commercial launches where regulatory approvals have been granted for CTx-1301. We are pursuing opportunities on all fronts and we have partnered with a well-known business development company, Global Pharmaceutical Partners (“GPP”) to actively seek to identify viable licensing partners. Additionally, we have entered into additional agreements with various business development partners to look for international licensing partners.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or operate a manufacturing facility. Previously, we utilized Pharmaceutical Manufacturing Research Services, Inc. as our CDMO for the manufacture of our products used in pre-clinical research and clinical trials. In October 2022, we retained Societal CDMO, Inc. as our CDMO that has and will continue to manufacture all clinical, registration, and commercial batches of our lead candidate CTx-1301. In September 2024, Societal was acquired by Bend Biosciences . Bend Bioscience has dedicated a specific manufacturing suite within its Gainesville, GA facility to manufacture our products, and the suite is outfitted it with proprietary equipment owned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third-party manufacturers, facilities, and all lots of drug substance and drug products used in our clinical trials are required to be in compliance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where our products are produced must meet cGMP requirements and FDA satisfaction before any product is approved and we can manufacture commercial products. Any third-party manufacturers are also subject to periodic inspections of facilities by the FDA and other authorities, including procedures and operations used in the testing and manufacture of our products to assess our compliance with applicable regulations. In addition, our drug products are classified as Class II controlled substances which requires any future third-party manufacturers to be approved and regulated by the United States Federal Drug Enforcement Agency (the “DEA”).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Drug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purchase the APIs used in CTx-1301 (Dexmethylphenidate); CTx-1302 (Dextroamphetamine) and CTx-2103 as well as excipients from third-party manufacturers based in the United States. We anticipate entering into commercial supply agreements with many of these manufacturers in the future. The APIs for both CTx-1301 and CTx-1302 are controlled under United States federal law. Dexmethylphenidate, and dextroamphetamine are classified by the DEA as Schedule II controlled substances. As with all stimulate medications, there is a potential for abuse. Consequently, our procurements, manufacturing, shipping, dispensing and storing of our product candidates will be subject to regulation, as described in more detail under the “DEA Regulation” section included elsewhere in this prospectus. The API for CTx-2103 (buspirone) is not as scheduled controlled substance therefore additional DEA regulations will not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Proprietary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on our proprietary rights. We have been building and continue to build our intellectual property portfolio relating to our ADHD drug candidates, and our innovative proprietary PTR drug delivery platform technology, and our technology platform. Our policy is to seek to protect our proprietary position by, among other methods, filing United States and certain foreign patent applications related to our proprietary technology, inventions and improvements that are important to the development and implementation of our business. We also intend to rely on trade secrets, know-how, continuing technological innovation, and potential in-licensing opportunities to develop and maintain our proprietary position.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technology.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licensed from BDD Pharma six patents and three patent applications in the United States and 94 patents and 26 patent applications in foreign countries and regions. In addition to the United States, we have patents issued or applications pending in Australia, Brazil, Canada, China, Egypt, Europe (with pending applications before the European Patent Office and patents validated with certain member states of the European Patent Organization), Hong Kong, Israel, India, Japan, Mexico, Russia, Saudi Arabia and South Korea. The patents and patent applications describe and claim certain features of our product candidates, our PTR drug delivery platform technology and our EBL, including claims to the product candidates, methods of making the product candidates and treatment methods using the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life determination depends on the date of filing of the application and other factors as promulgated under the patent laws, such as patent term adjustments and extensions. In most countries, including the United States, the patent term is generally 20 years from the earliest claimed filing date of a non-provisional patent application in the applicable country. The patents and, if granted, patent applications owned or licensed to us have expiry dates ranging from 2031 to 2043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and in-licensed patents and patent applications are summarized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4"/>
        <w:gridCol w:w="60"/>
        <w:gridCol w:w="2312"/>
        <w:gridCol w:w="60"/>
        <w:gridCol w:w="2215"/>
        <w:gridCol w:w="60"/>
        <w:gridCol w:w="1282"/>
        <w:gridCol w:w="60"/>
        <w:gridCol w:w="1320"/>
        <w:gridCol w:w="60"/>
        <w:gridCol w:w="1082"/>
      </w:tblGrid>
      <w:tr>
        <w:trPr/>
        <w:tc>
          <w:tcPr>
            <w:tcW w:w="169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Family/PCT Application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2" w:type="dxa"/>
            <w:tcBorders>
              <w:bottom w:val="single" w:sz="8" w:space="0" w:color="000000"/>
            </w:tcBorders>
            <w:shd w:fill="FFFFFF" w:val="clear"/>
            <w:vAlign w:val="center"/>
          </w:tcPr>
          <w:p>
            <w:pPr>
              <w:pStyle w:val="TableContents"/>
              <w:bidi w:val="0"/>
              <w:spacing w:before="0" w:after="283"/>
              <w:jc w:val="center"/>
              <w:rPr/>
            </w:pPr>
            <w:r>
              <w:rPr/>
              <w:t>“</w:t>
            </w:r>
            <w:r>
              <w:rPr>
                <w:rFonts w:ascii="Times New Roman;Times;Serif" w:hAnsi="Times New Roman;Times;Serif"/>
              </w:rPr>
              <w:t>Title”/(Type of Patent Protection)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Applicant/Owner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Pending Applications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Issued Patents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Patent Expiry</w:t>
            </w:r>
          </w:p>
        </w:tc>
      </w:tr>
      <w:tr>
        <w:trPr/>
        <w:tc>
          <w:tcPr>
            <w:tcW w:w="169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WO2011107750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2"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rPr>
              <w:t>Delayed Prolonged Drug Delivery” (A press-coated tablet formulation for a delayed, followed by a prolonged release of an active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DRUG DELIVERY INTERNATIONAL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Germany, Great Britain, </w:t>
              <w:br/>
              <w:t xml:space="preserve">France, Japan, </w:t>
              <w:br/>
              <w:t>Switzerland,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2031</w:t>
            </w:r>
          </w:p>
        </w:tc>
      </w:tr>
      <w:tr>
        <w:trPr/>
        <w:tc>
          <w:tcPr>
            <w:tcW w:w="169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both"/>
              <w:rPr/>
            </w:pPr>
            <w:r>
              <w:rPr/>
              <w:t> </w:t>
            </w:r>
          </w:p>
        </w:tc>
      </w:tr>
      <w:tr>
        <w:trPr/>
        <w:tc>
          <w:tcPr>
            <w:tcW w:w="169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WO2011107749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2"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rPr>
              <w:t>Pulsatile Drug Release” (A press-coated tablet formulation for a delayed, followed by a pulsed release of an active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DRUG DELIVERY INTERNATIONAL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Austria, Belgium, </w:t>
              <w:br/>
              <w:t xml:space="preserve">Bulgaria, Czech Republic, </w:t>
              <w:br/>
              <w:t xml:space="preserve">Denmark, Finland, </w:t>
              <w:br/>
              <w:t xml:space="preserve">France, Germany, </w:t>
              <w:br/>
              <w:t xml:space="preserve">Great Britain, Greece, </w:t>
              <w:br/>
              <w:t xml:space="preserve">Hungary, Ireland, </w:t>
              <w:br/>
              <w:t xml:space="preserve">Italy, Japan, </w:t>
              <w:br/>
              <w:t xml:space="preserve">Netherlands, Norway, </w:t>
              <w:br/>
              <w:t xml:space="preserve">Poland, Portugal, </w:t>
              <w:br/>
              <w:t xml:space="preserve">Romania, Slovakia, </w:t>
              <w:br/>
              <w:t xml:space="preserve">Slovenia, Spain, </w:t>
              <w:br/>
              <w:t xml:space="preserve">Sweden, Switzerland, </w:t>
              <w:br/>
              <w:t>Turkey,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2031</w:t>
            </w:r>
          </w:p>
        </w:tc>
      </w:tr>
      <w:tr>
        <w:trPr/>
        <w:tc>
          <w:tcPr>
            <w:tcW w:w="169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both"/>
              <w:rPr/>
            </w:pPr>
            <w:r>
              <w:rPr/>
              <w:t> </w:t>
            </w:r>
          </w:p>
        </w:tc>
      </w:tr>
      <w:tr>
        <w:trPr/>
        <w:tc>
          <w:tcPr>
            <w:tcW w:w="169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WO2011107755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2"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rPr>
              <w:t>Immediate Delayed Release” (A press-coated tablet formulation for a delayed, followed by a pulsed release of an active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DRUG DELIVERY INTERNATIONAL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Austria, Belgium, </w:t>
              <w:br/>
              <w:t xml:space="preserve">Bulgaria, Czech Republic, </w:t>
              <w:br/>
              <w:t xml:space="preserve">Denmark, Finland, </w:t>
              <w:br/>
              <w:t xml:space="preserve">France, Germany, </w:t>
              <w:br/>
              <w:t xml:space="preserve">Great Britain, Greece, </w:t>
              <w:br/>
              <w:t xml:space="preserve">Hungary, Ireland, </w:t>
              <w:br/>
              <w:t xml:space="preserve">Italy, Japan, </w:t>
              <w:br/>
              <w:t xml:space="preserve">Netherlands, Norway, </w:t>
              <w:br/>
              <w:t xml:space="preserve">Poland, Portugal, </w:t>
              <w:br/>
              <w:t xml:space="preserve">Romania, Slovakia, </w:t>
              <w:br/>
              <w:t xml:space="preserve">Slovenia, Spain, </w:t>
              <w:br/>
              <w:t xml:space="preserve">Sweden, Switzerland, </w:t>
              <w:br/>
              <w:t>Turkey,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2031</w:t>
            </w:r>
          </w:p>
        </w:tc>
      </w:tr>
      <w:tr>
        <w:trPr/>
        <w:tc>
          <w:tcPr>
            <w:tcW w:w="169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both"/>
              <w:rPr/>
            </w:pPr>
            <w:r>
              <w:rPr/>
              <w:t> </w:t>
            </w:r>
          </w:p>
        </w:tc>
      </w:tr>
      <w:tr>
        <w:trPr/>
        <w:tc>
          <w:tcPr>
            <w:tcW w:w="1694"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WO2016075496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2" w:type="dxa"/>
            <w:tcBorders/>
            <w:shd w:fill="CCEEFF" w:val="clear"/>
            <w:tcMar>
              <w:bottom w:w="0" w:type="dxa"/>
            </w:tcMar>
            <w:vAlign w:val="center"/>
          </w:tcPr>
          <w:p>
            <w:pPr>
              <w:pStyle w:val="TableContents"/>
              <w:bidi w:val="0"/>
              <w:spacing w:before="0" w:after="283"/>
              <w:jc w:val="left"/>
              <w:rPr/>
            </w:pPr>
            <w:r>
              <w:rPr/>
              <w:t>“</w:t>
            </w:r>
            <w:r>
              <w:rPr>
                <w:rFonts w:ascii="Times New Roman;Times;Serif" w:hAnsi="Times New Roman;Times;Serif"/>
              </w:rPr>
              <w:t>Pharmaceutical Processing” (A method for making a controlled release material)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DRUG DELIVERY INTERNATIONAL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2035</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2"/>
        <w:gridCol w:w="60"/>
        <w:gridCol w:w="2158"/>
        <w:gridCol w:w="60"/>
        <w:gridCol w:w="1869"/>
        <w:gridCol w:w="60"/>
        <w:gridCol w:w="2049"/>
        <w:gridCol w:w="60"/>
        <w:gridCol w:w="1294"/>
        <w:gridCol w:w="60"/>
        <w:gridCol w:w="1043"/>
      </w:tblGrid>
      <w:tr>
        <w:trPr/>
        <w:tc>
          <w:tcPr>
            <w:tcW w:w="1492"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Family/PCT Application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58"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Title”/(Type of Patent Protection)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9"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Applicant/Owner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49"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Applications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94"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Expiry</w:t>
            </w:r>
          </w:p>
        </w:tc>
      </w:tr>
      <w:tr>
        <w:trPr/>
        <w:tc>
          <w:tcPr>
            <w:tcW w:w="149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WO2016075495</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Compositions” (A press coated tablet for delayed release of an active ingredient)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DELIVERY INTERNATIONAL LTD 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Egypt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Austria,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Belgium, Brazil, Bulgaria,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 Czech Republic, Denmark,</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Finland, France,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 Great Britain,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Greece, Hong Kong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Hungary, India, Ireland,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 Japan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Mexico, Netherlands,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Norway, Poland,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Portugal, Romania,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 Saudi Arabia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Slovakia, Slovenia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Korea, Spain, Sweden,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 Turkey,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2035</w:t>
            </w:r>
          </w:p>
        </w:tc>
      </w:tr>
      <w:tr>
        <w:trPr/>
        <w:tc>
          <w:tcPr>
            <w:tcW w:w="149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WO2016075497</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Tablet” (A sustained release tablet comprising a wax, a disintegrant and a therapeutic agent)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DELIVERY INTERNATIONAL LTD 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2035</w:t>
            </w:r>
          </w:p>
        </w:tc>
      </w:tr>
      <w:tr>
        <w:trPr/>
        <w:tc>
          <w:tcPr>
            <w:tcW w:w="149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WO2016138440</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Tripulse Release Stimulant Formulations”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THERAPEUTICS LLC</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Korea, United States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(2), Canada,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February 2036 </w:t>
            </w:r>
          </w:p>
        </w:tc>
      </w:tr>
      <w:tr>
        <w:trPr/>
        <w:tc>
          <w:tcPr>
            <w:tcW w:w="149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WO2022/240849</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Trimodal, Precision-Timed Pulsatile Release Tablet”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THERAPEUTICS LLC</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Brazil, Canada, China, Europe, Israel, India, Japan, Mexico, South Korea, United States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2042 (when issued)</w:t>
            </w:r>
          </w:p>
        </w:tc>
      </w:tr>
      <w:tr>
        <w:trPr/>
        <w:tc>
          <w:tcPr>
            <w:tcW w:w="149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2"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WO2023/158694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15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Trimodal, Precision-Timed Release Tablet”</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6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THERAPEUTICS LLC</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049"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9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0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 2043 (when issued)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secret and other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patented intellectual property, we also rely on trade secrets and proprietary know-how to protect our technology and maintain our competitive position, especially when we do not believe that patent protection is appropriate or can be obtained. Our policy is to require each of our 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shall own all inventions conceived by the individual in the course of rendering services to 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trademark protection in the United States when appropriate, including trade names that could be used with our potential products. We currently have registered trademarks for Cingulate, Cingulate Therapeutics, CTx and Mastery in the United States as well as for the Cingulate Therapeutics logo. We claim to own common law trademark rights in PTR for the good/services for which it is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find it necessary or prudent to obtain licenses from third party intellectual property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has been exemplified by advancing technologies, intense competition, and a strong emphasis on proprietary products. We may face competition from both pharmaceutical as well as generic drug companies as there are several short-acting and extended-release branded products with various formulations, some quite innovative as well as generic versions of these that have yet to satisfy the unmet medical need. We believe the key competitive factors that will affect the development and commercial success of our product candidates include oral administration, therapeutic efficacy which includes immediate onset and entire active day duration, safety and tolerability profiles, market access and pricing. Some competitors have substantially greater financial, technical and human resources than we do; however, we believe the level of branded competition is diminishing and will continue to decline with the loss of exclusivity for Vyvanse. In addition, our prospective competitors may also have more experience and expertise in obtaining marketing approvals from the FDA and foreign regulatory authorities. In addition to product development, testing, approval and promotion, other competitive factors in the pharmaceutical industry include consolidation, product quality and price, product technology, reputation, customer service and access to technical information. As a result, our prospective competitors may be able to develop competing or superior products and compete more aggressively and sustain their competitive advantage over a longer period of time than us. Our products may be rendered obsolete or may lack economic viability in the face of 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both CTx-1301 and CTx-1302 will compete against currently marketed, branded, and generic methylphenidate and amphetamine products for the treatment of ADHD. Some of these currently available products include Janssen’s Concerta, Novartis’ Focalin XR and Takeda’s Adderall XR and Vyvanse, all of which have lost exclusivity.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ADHD market has seen the entrance of many innovative but niche-focused ADHD products that have not commanded the market share of previous oral stimulants, in particular the extended-release oral stimulants. We are aware that we face competition from small biotechnology companies focused in ADHD with niche products including Aytu, Tris, Corium, Collegium, and Rhodes. However, we do not consider most of these companies to be significant competitors as their products are only capable of capturing small subsets of the overall market and do not employ substantial commercial efforts; whereas we believe our product candidates offer the potential to overcome longstanding unmet needs for the majority of ADHD patients. In addition, Cingulate, along with a potential commercialization or strategic partner, plans to employ appropriate resources to successfully commercialize its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recently issued revised guidance for bioequivalence testing of generic extended-release methylphenidate. This new guidance makes it more difficult for new generic products to demonstrate bioequivalence to reference products. We believe this will limit generic competition in the methylphenidate market. It may be difficult for a generic product to show bioequivalence to a new branded, extended- release dexmethylphenidate drug with entire active day duration of effect, such as CTx-1301. Recently, generic products have been pressured by the availability of stimulant API and, as a result, there has been decreased production of generic ADHD medications. This is resulting in a decrease of generic commercial product availability, globally.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authorities in the United States at the federal, state and local levels and in other countries regulate, among other things, the research, development, testing, manufacturing,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for each regulatory authority, submitted for review and ultimately approved by the applicable regulatory authority.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Drug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FDA regulates drugs under the Federal Food, Drug and Cosmetic Act (“FDCA”) and its implementing regulations. Drugs are also subject to other federal, state, and local statutes and regulations. The process of obtaining regulatory approval and maintaining subsequent compliance with applicable federal, state and local statutes and regulations requires the expenditure of substantial time, personnel, and financial resources. These agencies and other federal, state and local entities regulate research and development activities and the testing, manufacture, quality control, labeling, storage, packaging, recordkeeping, tracking, approval, import, export, distribution, advertising and promotion of pharmaceutical products. Failure to comply with the applicable United States regulatory requirements at any time during product development, the approval process, or after approval may subject an applicant to administrative or judicial sanctions. These sanctions could include, among other actions, the FDA’s refusal to approve pending applications, withdrawal of an approval, a clinical hold, untitled or warning letters, voluntary product recalls or market withdrawals, product seizures, total or partial suspension of production or distribution injunctions, fines, consent decrees, refusals of government contracts, restitution, disgorgement, or civil and criminal penalties. Any agency or judicial enforcement action could have a material adverse effect 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 product candidates must be approved by the FDA through the NDA process before they may be legally marketed and sold in the United States. Cingulate intends to submit our NDAs under the 505(b)(2) regulatory approval pathway. Development and approval of drugs generally involves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laboratory tests, animal studies and formulation studies according to Good Laboratory Practice (“GLP”) regulations or other applicable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investigational new drug application (“IND”), which must become effective before clinical trials involving humans may begin;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institutional review board (“IRB”) or ethics committee at each clinical trial site before a trial may be initiated at that site;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in accordance with applicable IND regulations, other good clinical practices (“GCPs”) and other clinical-trial related regulations to evaluate the safety and efficacy of the investigational product for each proposed indication;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Compiling of information demonstrating that the product can be properly formulated, manufactured and stored;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of an NDA to the FDA for marketing approval, including payment of application user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pre-approval inspection of the manufacturing facility or facilities where the drug is produced to assess compliance with cGMPs and assure that the facilities, methods and controls are adequate to preserve the drug’s identity, strength, quality and purity;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FDA audit of the clinical trial sites to assure compliance with GCPs and the integrity of the clinical data submitted in support of the NDA;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NDA, including satisfactory completion of an FDA advisory committee review of the product candidate, where appropriate or if applicable, prior to any commercial marketing or sale of the product in the United States.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testing any drug product candidate in humans, it must undergo rigorous preclinical testing. 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include laboratory evaluation of product candidate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 and toxicology studies. Some long-term preclinical testing, such as animal tests of reproductive adverse events and carcinogenicity, may continue after an IND for an investigational drug candidate is submitted to the FDA and human clinical trials have been initiated.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testing data to support a 505(b)(2) NDA, some or all of the necessary preclinical data may be referenced in literature or the FDA’s previous findings of safety and efficacy for an 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clinical trials must be conducted under the supervision of qualified investigators. Clinical trials are conducted under protocols detailing the objectives of the study, the parameters to be used in monitoring the safety and effectiveness criteria to be evaluated. Each protocol must be submitted to the FDA as part of the IND. Study subjects must sign an informed consent form before participating in a clinical trial. There are also requirements governing the reporting of on-going clinical trials and clinical trial results to public registries.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may also be imposed by the FDA at any time before or during studies due to safety concerns or non-compliance.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IRB representing each institution that is participating in the clinical trial must review and approve the plan for any clinical trial before it commences at that institution, and the IRB must thereafter conduct a continuing review and reapprove the trial at least annually. The IRB must review and approve, among other things, the trial protocol and informed consent information to be provided to clinical trial subjects. An IRB must operate in compliance with FDA regulations. Information about certain clinical trials, including details of the protocol and eventually study results, also must be submitted within specific timeframes to the National Institutes of Health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National Institutes of Health’s (“NIH”) Final Rule on ClinicalTrials.gov registration and reporting requirements became effective in 2017, and both NIH and FDA have signaled the government’s willingness to begin enforcing those requirements against non-compliant clinical trial sponsors.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conducted to support an NDA are generally conducted in three sequential phases that may overlap or be combined.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 clinical trials generally involve a relatively small number of healthy volunteers who are initially exposed to a single dose or multiple doses of the product candidate. The primary purpose of these clinical trials is to assess the safety, dosage tolerance, structure-activity relationships, mechanism of action, absorption, metabolism, distribution, and excretion in healthy volunteers or subjects with the target disease or condition. Changes to this general format that are suitable to a product candidate or a specific patient population may occur but usually are agreed to in advance with the FDA.</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Phase 2 - clinical trials typically involve studies in a limited patient population to identify possible adverse effects and safety risks, to preliminarily evaluate the efficacy of the product for specific targeted diseases and to determine dosage tolerance and optimal dosage.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3 - clinical trials are undertaken in larger subject populations to further evaluate dosage, clinical efficacy and safety in an expanded patient population, often at geographically dispersed clinical study sites. These studies are intended to establish the overall risk-benefit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 These trials may be done globally to support global registrations so long as the global sites are also representative of the United States population and the conduct of the study at global sites comports with FDA regulations and guidance, such as compliance with GCPs.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following the 505(b)(2) regulatory approval pathway, the applicant may reduce some of the burden of developing a drug by relying on investigations not conducted by the applicant and for which the applicant has not obtained a right of reference, such as prior investigations involving the RLD. In such cases, some clinical trials may not be required or may be otherwise limited; however, Phase 1 trials to establish bioavailability and pharmacokinetic characteristics of the product candidate and at least one Phase 3 pivotal trial are usually required to support a 505(b)(2) NDA.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development of a new drug product, sponsors have the opportunity to meet with the FDA at certain points, including prior to submission of an IND, at the end of phase 2, and before submission of an NDA. These meetings can provide an opportunity for the sponsor to share information about the data gathered to date, for the FDA to provide advice, and for the sponsor and the FDA to reach agreement on the next phase of development. Sponsors typically meet with the agency before initiating Phase 3 clinical trials to present their plans for the pivotal trial that they believe will support approval of the new drug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clinical trials, companies usually complete additional animal studies and must also develop additional information about the physical characteristics of the drug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NDA and FDA Review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the required clinical testing, the results of the preclinical studies and clinical trials, along with detailed descriptions of the product’s chemistry, manufacturing, and controls, proposed labeling and other relevant information are submitted to the FDA as part of an NDA requesting approval to market the product. The cost of preparing and submitting an NDA is substantial. Under federal law, the submission of most NDAs is additionally subject to a substantial application user fee, currently over $3.24 million for an NDA with clinical information, and the manufacturer and/or sponsor under an approved NDA is also subject to an annual program fee, currently approximately $394,000. These fees are typically increased annually. Fee waivers or reductions are available in certain circumstances. One such fee waiver is available for applicants that are small businesses, meaning the applicant (including any affiliates) employs fewer than 500 employees, does not have an approved marketing application for a product that has been introduced or delivered for introduction into interstate commerce, and is submitting its first marketing application.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505(b)(1) and Section 505(b)(2) of the FDCA are the provisions governing the type of NDAs that may be submitted under the FDCA. Section 505(b)(1) is the traditional pathway for new chemical entities when no other new drug containing the same active pharmaceutical ingredient or active moiety, which is the molecule or ion responsible for the action of the drug substance, has been approved by the FDA. As an alternate pathway to FDA approval for new or improved formulations of previously approved products, a company may file a Section 505(b)(2) NDA. Section 505(b)(2) permits the submission of an NDA where at least some of the information required for approval comes from studies not conducted by or for the applicant and for which the applicant has not obtained a right of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FDA receives an application, it has 60 days to review the NDA to determine if it is substantially complete to permit a substantive review, before it accepts the application for filing and may request additional information rather than accepting the applications. Once the submission is accepted for filing, the FDA begins an in-depth review of the NDA. Under the goals and policies agreed to by the FDA under the Prescription Drug User Fee Act (PDUFA) VI, the agency seeks to review applications for standard review drug products within 10 months from the NDA filing date, and applications for priority review drugs within six months from the NDA filing date. The FDA may grant a priority review designation to drugs that are intended to treat a serious condition and that the agency determines offer major advances in treatment, or provide a treatment where no adequate therapy exists. The FDA does not always meet its PDUFA goal dates for standard and priority NDAs, and the review process for both standard and priority reviews may be extended by FDA for three additional months to consider additional, late-submitted information, or information intended to clarify information already provided in the submission in response to FDA review questions.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approving an NDA, the FDA will typically conduct a pre-approval inspection of the manufacturing facilities for the product candidate to determine whether they comply with cGMPs, unless the facility has recently had an FDA inspection. The FDA will not approve the product unless it determines that the manufacturing processes and facilities are in compliance with cGMP requirements and adequate to assure consistent production of the product to specifications. Additionally, the FDA may refer applications for novel drug products or drug products which present difficult questions of safety or efficacy to an advisory committee, typically a panel that includes clinicians and other experts, for review, evaluation and a recommendation regarding whether the application should be approved and, if so, under what conditions. The FDA is not bound by the recommendations of an advisory committee, but it considers them carefully when making decisions. NDAs submitted under Section 505(b)(2) are typically not referred to an Advisory Panel for consideration unless new safety information is revealed in the review cycle.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NDA review process, the FDA likely will re-analyze the clinical trial data, which could result in extensive discussions between the FDA and the applicant. Additionally, the FDA will typically inspect one or more clinical sites to assure compliance with GCPs and the IND protocol requirements and to assure the integrity of the clinical data submitted to the FDA. The review and evaluation of an NDA by the FDA is extensive and time consuming and may take longer than originally planned to complete, and we may not receive a timely approval,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evaluates an NDA, it will issue either an approval letter or a complete response letter (“CRL”). An approval letter authorizes the commercial marketing of the drug with prescribing information for specific indications. A CRL indicates that the review cycle of the application is complete, and that the application will not be approved in its present form. A CRL generally describes the deficiencies in the NDA identified by the FDA and may require substantial additional clinical data or other significant and time-consuming requirements related to clinical trials, nonclinical studies or manufacturing. Additionally, the CRL may include recommended actions that the applicant might take to place the application in a condition for approval. If a CRL is issued, the applicant may either resubmit the NDA, addressing all of the deficiencies identified in the letter, or withdraw the application. If, or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however, the FDA may decide that the NDA does not satisfy the regulatory criteria for approval. Data obtained from clinical trials are not always conclusive, and the FDA may interpret data differently than the sponsor interprets the same data.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FDA will approve a product candidate for marketing, and the sponsor may encounter significant difficulties or costs during the review process. Even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it may condition approval on changes to the proposed labeling. The FDA also may condition approval on the development of adequate controls and specifications for manufacturing and a commitment to conduct post-marketing testing and surveillance to monitor the potential effects and efficacy. For example, the FDA may require Phase 4 trials designed to further assess a drug’s safety and efficacy.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also place restrictions and conditions on product distribution, prescribing, or dispensing in the form of a risk evaluation and mitigation strategy (“REMS”) plan in addition to the approved labeling, to help ensure that the benefits of the drug outweigh its risks. A REMS could include medication guides for patients, communication plans for health care professionals, and/or elements to assure safe use (“ETASU”). ETASU can include, but are not limited to, special training or certification for prescribing or dispensing, restricted distribution requirements, dispensing only under certain circumstances, special monitoring, and the use of patient registries. The FDA determines the requirement for a REMS, as well as the specific REMS provisions, on a case-by-case basis. If the FDA concludes a REMS plan is needed, the sponsor of the NDA must submit a proposed REMS plan. The FDA will not approve the NDA without an approved REMS, if required. Based on the required warnings included in the approved labeling of drug products containing the same drug substance as our product candidates (dexmethylphenidate and dextroamphetamine), we expect that as part of the NDA review and approval process, FDA will require at least some of our product candidates, in particular CTx-1301 and CTx-1302, to include black box warnings as part of their labeling.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above-mentioned limitations on approval or marketing could restrict the commercial promotion, distribution, prescription or dispensing of products and therefore limit commercial success. Marketing approval may be withdrawn for non-compliance with regulatory requirements or if problems occur following initial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NDA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Hatch-Waxman Act and New Drug Marketing Exclusivity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Drug Price Competition and Patent Term Restoration Act of 1984, otherwise known as the Hatch-Waxman Amendments to the FDCA, Congress authorized the FDA to approve generic drugs that are the same as drugs previously approved by the FDA under the NDA provisions of the statute and also enacted Section 505(b)(2) of the FDCA. To obtain approval of a generic drug, an applicant must submit an Abbreviated New Drug Applications (“ANDA”), to the agency. In support of such applications, a generic manufacturer may rely on the preclinical and clinical testing conducted for a drug product previously approved under an NDA, known as the RLD. Specifically, in order for an ANDA to be approved, the FDA must find that the generic version is identical to the RLD with respect to the active ingredients, the route of administration, the dosage form, and the strength of the drug. In contrast, Section 505(b)(2) permits the filing of an NDA where at least some of the information required for approval comes from studies not conducted by or for the applicant and for which the applicant has not obtained a right of reference. A Section 505(b)(2) applicant may eliminate the need to conduct certain preclinical or clinical studies, if it can establish that reliance on studies conducted for a previously-approved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for example, they may be seeking approval to market a previously approved drug for new indications or for a new patient population that would require new clinical data to demonstrate safety or effectiveness. The FDA may then approve the new product for all or some of the label indications for which the RLD has been approved, or for any new indication sought by the Section 505(b)(2) applicant, as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seeking approval of an NDA or a supplement thereto, the NDA sponsor is required to list with the FDA each patent with claims that cover the sponsor’s product or an approved method of using the product. Upon approval of an NDA, each of the patents listed in the application for the drug is published in the FDA publication Approved Drug Products with Therapeutic Equivalence Evaluations, commonly known as the Orange Book. When an ANDA applicant submits its application to the FDA, the applicant is required to certify to the FDA concerning any patents listed in the Orange Book for the RLD, except for patents covering methods of use for which the follow-on applicant is not seeking approval. To the extent a Section 505(b)(2) applicant is relying on studies conducted for an already approved product, such an applicant is also required to certify to the FDA concerning any patents listed for the approved product in the Orange Book to the same extent that an ANDA applicant would.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any applicant who subsequently files an ANDA or 505(b)(2) NDA that references the drug listed in the Orange Book must certify to the FDA that with respect to each published patent, (i) the required patent information has not been filed by the original applicant of the RLD; (ii) the listed patent already has expired; (iii) the listed patent has not expired, but will expire on a specified date and approval is sought after patent expiration; or (iv) the listed patent is invalid, unenforceable or will not be infringed by the manufacture, use or sale of the new product. These are known as Paragraph I, II, III, and IV certifications,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Paragraph I or II certification is filed, the FDA may make approval of the application effective immediately upon completion of its review. If a Paragraph III certification is filed, the approval may be made effective on the patent expiration date specified in the application, although a tentative approval may be issued before that time. If an application contains a Paragraph IV certification, a series of events will be triggered, the outcome of which will determine the effective date of approval of the ANDA or 505(b)(2)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certification that the new product will not infringe the RLD’s listed patents or that such patents are invalid is called a Paragraph IV certification. If the follow-on applicant has provided a Paragraph IV certification to the FDA, the applicant must also send notice of the Paragraph IV certification to the NDA and patent holders for the RLD once the applicant’s NDA has been accepted for filing by the FDA. The NDA and patent holders may then initiate a legal challenge to the Paragraph IV certification. The filing of a patent infringement lawsuit within 45 days of their receipt of a Paragraph IV certification automatically prevents the FDA from approving the ANDA or 505(b)(2) NDA until the earlier of 30 months after the receipt of the Paragraph IV notice, expiration of the patent or a decision in the infringement case that is favorable to the ANDA or 505(b)(2) applicant. Alternatively, if the listed patent holder does not file a patent infringement lawsuit within the required 45-day period, the follow-on applicant’s ANDA or 505(b)(2) NDA will not be subject to the 30-month stay.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Hatch-Waxman Amendments, the FDA may not approve an ANDA or 505(b)(2) NDA until any applicable period of non-patent exclusivity for the referenced RLD has expired. These market exclusivity provisions under the FDCA also can delay the submission or the approval of certain applications. The FDCA provides a five-year period of non-patent marketing exclusivity within the United States to the first applicant to gain approval of a NDA for a drug containing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follow-on applications for drugs containing the original active agent.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NDA approval, owners of relevant drug patents may apply for up to a five-year patent term extension. The allowable patent term extension is calculated as half of the drug’s testing phase – the time between when the IND becomes effective and NDA submission – and all of the review phase – the time between NDA submission and approval, up to a maximum of five years. The time can be shortened if FDA determines that the applicant did not pursue approval with due diligence. The total patent term after the extension may not exceed 14 years.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Patent and Trademark Office (PTO) must determine that approval of the drug covered by the patent for which a patent extension is being sought is likely. Interim patent extensions are not available for a drug for which an NDA has not been submitted.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Pediatric Clinical Trials and Exclusivity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Pediatric Research Equity Act (“PREA”), an NDA or certain types of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satisfying the requirements of PREA, the appropriate age ranges to be studied may vary, depending on the pharmacology of the drug or biological product, the manifestations of the disease in various age groups, and the ability to measure the response to therapy. PREA requires pediatric assessments to be gathered “using appropriate formulations for each age group for which the assessment is required” (section 505B(a)(2)(A) of the Act). Under PREA, applicants must submit requests for approval of the pediatric formulation used in their pediatric studies, and failure to submit such a request may render the product misbranded (section 505B(d) of the Act). FDA interprets the language “request for approval of a pediatric formulation” to mean that applicants must submit an application or supplemental application for any not previously approved formulation(s) used to conduct their pediatric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Food and Drug Administration Safety and Innovation Act, which was signed into law on July 9, 2012, amended the FDCA to require that a sponsor who is planning to submit an NDA for a new active ingredient, new indication, new dosage form, new dosing regimen or new route of administration submit an initial Pediatric Study Plan (“iPSP”) within 60 days of an end-of-Phase 2 meeting or, if there is no such meeting, as early as practicable before the initiation of the Phase 3 or Phase 2/3 trial. The iPSP must include an outline of the pediatric trial(s) that the sponsor plans to conduct, including objectives and design, age groups, relevant endpoints and statistical approach, or a justification for not including such information, and any request for a deferral of pediatric assessments or a full or partial waiver of the requirement to provide data from pediatric trials along with supporting information. The FDA and the sponsor must reach an agreement on the iPSP, but the sponsor can submit amendments to an agreed-upon iPSP at any time if changes to the pediatric plan need to be considered based on data collected from nonclinical studies, early phase clinical trials, and other clinical development programs. We have submitted our iPSP, and it was accepted. We continue to be in discussions with the FDA regarding our PREA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Best Pharmaceuticals for Children Act provides NDA holders a six-month extension of any exclusivity – patent or non-patent – for a drug if certain conditions are met, including satisfaction of a pediatric trial(s) agreed with FDA as a Pediatric Written Request. Conditions for pediatric exclusivity include the FDA’s determination that information relating to the use of a new drug in the pediatric population may produce health benefits in that population, the FDA making a written request for pediatric clinical trials, and the applicant agreeing to perform, and reporting on, the requested clinical trials within the statutory timeframe. This six-month exclusivity may be granted if an NDA sponsor submits pediatric data that fairly respond to the written request from the FDA for such data. Those data do not need to show the product to be effective in the pediatric population studied; rather, if the clinical trial is deemed to fairly respond to the FDA’s request, the additional protection is granted. Although this is not a patent term extension, it effectively extends the regulatory period during which the FDA cannot approve another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Clinical Trial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Sponsors of clinical trials of FDA-regulated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of a drug product, the manufacturer and the approved drug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adverse publicity, enforcement action by the FDA, corrective advertising, consent decrees and the full range of civil and criminal penalties available to the FDA. Prescription drug promotional materials also must be submitted to the FDA in conjunction with their first use. Further, if there are any modifications to the approved drug product,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or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regulations require that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satisfy the FDA or comparable foreign regulatory authorities’ satisfaction before any product is approved and our commercial products can be manufactured. These manufacturers must comply with cGMPs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compliance with cGMPs. The discovery of violative conditions, including failure to conform to cGMPs, could result in enforcement actions including cessation of manufacturing activities. The discovery of problems with a product after approval may result in restrictions on a product, manufacturer or holder of an approved NDA, including recalls and product seizures.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changes to the manufacturing process are strictly regulated and often require prior FDA approval before being implemented, or FDA notification. If there are any modifications to the drug, including changes to indications, labeling, or manufacturing processes or facilities, the applicant may be required to submit and obtain FDA approval of a supplemental NDA or new NDA, which may require the applicant to develop additional data or conduct additional pharmaceutical development/formulation studies, nonclinical studies or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approval of a prescription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product, complete withdrawal of the product from the market or product recalls;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other enforcement-related letters or clinical holds on post-approval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NDAs or supplements to approved NDAs, or suspension or revocation of product approvals;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 corporate integrity agreements, debarment, or exclusion from federal health care programs;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mandated modification of promotional materials and labeling and the issuance of corrective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regulate the distribution of prescription pharmaceutical product samples and impose requirements to ensure accountability in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Drug Supply Chain Security Act (“DSCSA”) was enacted in 2013 with the aim of building an electronic system to identify and trace certain prescription drugs distributed in the United States. The DSCSA mandates phased-in and resource-intensive obligations for pharmaceutical manufacturers, wholesale distributors, and dispensers over a 10-year period that is expected to culminate in November 2023. From time to time, new legislation and regulations may be implemented that could significantly change the statutory provisions governing the approval, manufacturing and marketing of prescription drug products regulated by the FDA. It is impossible to predict whether further legislative or regulatory changes will be enacted, or FDA regulations, guidance or interpretations changed or what the impact of such changes, if any,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DEA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active ingredients in our current drug product candidates are listed by the DEA as controlled substances under the CSA. The CSA and its implementing regulations establish a closed chain of distribution for entities handling controlled substances and impose registration, record-keeping and reporting, security, storage, procurement, manufacturing, distribution, importation, exportation, labeling, packaging, and other requirements on such entities. The DEA requires individuals or entities that handle controlled substances to comply with these requirements to ensure legitimate use and prevent diversion of controlled substances to illicit channels of commerce.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CSA categorizes controlled substances into one of five schedules, Schedule I, II, III, IV or V, depending on the potential for abuse and physical or psychological dependence. Schedule I substances by definition have a high potential for abuse, have no currently accepted medical use in treatment in the United States and lack accepted safety for use under medical supervision. They may not be marketed or sold for dispensing to patients in the United States Pharmaceutical products having a currently accepted medical use and that are otherwise approved for marketing may be listed as Schedule II, III, IV, or V substances, with Schedule II substances presenting the highest potential for abuse and physical or psychological dependence, and Schedule V substances presenting the lowest relative potential for abuse and dependence. Schedule II substances (as well as substances defined as narcotics in any Schedule) are subject to the strictest requirements for registration, security, recordkeeping and reporting, and the distribution and dispensing of these substances are highly regulated. For example, all Schedule II drug prescriptions must be signed by a physician, physically presented to a pharmacist in most situations, unless they are electronically prescribed pursuant to DEA regulations, and may not be refilled. The active ingredients in our product candidates (dexmethylphenidate and dextroamphetamine) are Schedule II controlled substances and are under various restrictions. Consequently, the procurement, manufacturing, shipping, storage, sales and use of the products, if approved, will be subject to a high degree of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that manufacture, distribute, import or export controlled substances must register annually with the DEA.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 inspects manufacturers, distributors, importers, and exporters to review compliance with the CSA and DEA regulations, including security, record keeping and reporting prior to issuing a controlled substance registration and on a periodic basis. The specific security requirements vary by the type of business activity and the schedule and quantity of controlled substances handled by the registrant, with the most stringent requirements applying to Schedule I and Schedule II substances. Required security measures include background checks on employees and physical control of inventory through measures such as vaults and inventory reconciliations. Manufacturers and distributors must also submit regular reports to the DEA of the distribution of Schedule I and II controlled substances, Schedule III narcotic substances, and other designated substances. Records must be maintained for the handling of all controlled substances, for example, a complete and accurate record of each substance manufactured, received, sold, delivered, or otherwise disposed of. All DEA registrants must also report any controlled substance thefts or significant losses and must obtain authorization to destroy or dispose of controlled substances. In addition to maintaining an importer and/or exporter registration, importers and exporters of controlled substances must obtain a permit for every import or export of a Schedule I or II substance and a narcotic substance in Schedule III, IV and V. For all other drugs in Schedule III, IV and V, importers and exporters must submit an import or export declaration.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DEA quota system controls and limits the availability and production of controlled substances in Schedule I or II. The DEA establishes annually an aggregate quota for how much of a controlled substance may be produced in total in the United States based on the DEA’s estimate of the quantity needed to meet legitimate scientific and medicinal needs. The limited aggregate number of opioids and stimulants that the DEA allows to be produced in the United States each year is allocated among individual companies, which must submit applications annually to the DEA for individual production and procurement quotas. We must receive an annual quota from the DEA in order to produce or procure our Schedule II substance for use in manufacturing of our product and product candidates. The DEA may adjust aggregate production quotas and individual production and procurement quotas from time to time during the year, although the DEA has substantial discretion in whether or not to make such adjustments. Distributions of any Schedule I or II controlled substance must also be accompanied by special order forms, with copies provided to the DEA.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compliance with applicable DEA requirements, particularly as manifested in loss or diversion or controlled substances, can result in administrative, civil or criminal enforcement action. The DEA may seek civil penalties, refuse to renew necessary registrations, or initiate administrative proceedings to revoke those registrations. In some circumstances, violations could lead to criminal prosecution.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various states and the District of Columbia also regulate controlled substances and impose similar licensing, recordkeeping, and reporting requirements on entities that handle controlled substances. Entities must independently comply with the various state requirements in addition to the federal controlled substance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 Coverage, Pricing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uncertainty exists as to the coverage and reimbursement status of any product candidates for which we may obtain regulatory approval. In the United States, sales of pharmaceutical products depend in significant part on the availability of coverage and adequate reimbursement by third-party payors, such as state and federal governmental authorities, including those that administer the Medicare and Medicaid programs, managed care organizations and private insurers. Decisions regarding the extent of coverage and amount of reimbursement to be provided for each of our product candidates will be made on a plan-by-plan basis. The Medicare and Medicaid programs are often used as models by private payors and other governmental payors to develop their coverage and reimbursement policies for drugs. However,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payor and the owner of the drug.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enter into a strategic collaboration under which our collaborator assumes responsibility for seeking coverage and reimbursement for a given product, we will be responsible for negotiating coverage, reimbursement and placement decisions for our product candidates. Coverage, reimbursements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Medicare program, CTx-1301, CTx-1302 and CTx-2103, which, if approved would likely be self-administered drugs, would likely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and Medicaid Services (“CMS”) for discriminatory practices. These Part D plans negotiate discounts with drug manufacturers, which are passed on, in whole or in part, to each of the plan’s enrollees through reduced premiums.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drug product is reimbursed by Medicare or Medicaid, pricing and rebate programs must comply with, as applicable, the Medicare Prescription Drug Improvement and Modernization Act of 2003 as well as the Medicaid rebate requirements of the Omnibus Budget Reconciliation Act of 1990 (“OBRA”) and the Veterans Health Care Act of 1992, each as amended. Among other things, the OBRA requires drug manufacturers to pay rebates on prescription drugs to state Medicaid programs and empowers states to negotiate rebates on pharmaceutical prices, which may result in prices for our future products that will likely be lower than the prices we might otherwise obtain. If products are made available to authorized users of the Federal Supply Schedule of the General Services Administration, additional laws and requirements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payors, including the United States government, continue to apply downward pressure on the reimbursement of pharmaceutical products. For example, the Inflation Reduction Act of 2022 reduces the US government reimbursement for some drugs.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There are currently, and we expect that there will continue to be, a number of federal and state proposals to implement controls on reimbursement and pricing, directly and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Healthcare Laws and Compliance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are commercializing our product candidates, if they are approved by the FDA or comparable foreign regulatory agencies for marketing, we will be subject to additional healthcare statutory and regulatory requirements and enforcement by federal government and the states and foreign governments in the jurisdictions in which we conduct our business. Healthcare providers, physicians and third-party payors will play a primary role in the recommendation and prescription of any other product candidates for which we obtain marketing approval. Our arrangements with third-party payors and customers expose us to broadly applicable fraud and abuse and other healthcare laws and regulations that constrain the business or financial arrangements and relationships through which we market, sell and distribute any products for which we obtain marketing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under applicable federal and state healthcare laws and regulations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federal Anti-Kickback Statute is subject to evolving interpretations. In the past, the government has enforced the federal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the civil False Claims Act, and civil monetary penalty laws, prohibit, among other things, knowingly presenting or causing the presentation of a false, fictitious or fraudulent claim for payment to the United States government, knowingly making, using, or causing to be made or used a false record or statement material to a false or fraudulent claim to the United States government, or from knowingly making a false statement to avoid, decrease or conceal an obligation to pay money to the United States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United States, for example, in connection with the promotion of products for unapproved uses and other allegedly unlawful sales and marketing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Federal Health Insurance Portability and Accountability Act of 1996 (“HIPAA”) created new federal, civil and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 Payments Sunshine Act, enacted as part of the Patient Protection and Affordable Care Act, as amended by the Health Care and Education Reconciliation Act (collective, “PPACA”), among other things, imposes reporting requirements on manufacturers of FDA-approved drugs, devices, biologics and medical supplies covered by Medicare, Medicaid, or the Children’s Health Insurance Program to report, on an annual basis, to CMS information related to payments and other transfers of value to physicians (defined to include doctors, dentists, optometrists, podiatrists, chiropractors and, beginning in 2022 for payments and other transfers of value provided in the previous year, certain advanced non-physician health care practitioners), teaching hospitals, as well as ownership and investment interests held by physicians and their immediate family members;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which include certain healthcare providers, health plans, and healthcare clearinghouses,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that may apply to sales or marketing arrangements and claims involving healthcare items or services reimbursed by non-governmental third-party payors, including private insurers;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to the extent that those laws impose requirements that are more stringent than the Physician Payments Sunshine Act, as well as state and local laws that require the registration of pharmaceutical sales representatives;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laws and foreign laws and regulations (particularly European Union laws regarding personal data relating to individuals based in Europe) that govern the privacy and security of health information in certain circumstances, many of which differ from each other in significant ways, thus complicating compliance efforts.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2020, the United States Department of Health and Human Services (“DHHS”) finalized significant changes to the regulations implementing the Anti-Kickback Statute, with the goal of offering the healthcare industry more flexibility and reducing the regulatory burden associated with those fraud and abuse laws, particularly with respect to value-based arrangements among industry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our current and future business arrangements with third parties comply with applicable healthcare laws and regulations involves substantial costs. It is possible that governmental authorities may conclude that our business practices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monetary damages, fines, disgorgement, imprisonment, loss of eligibility to obtain approvals from the FDA, exclusion from participation in government contracting, healthcare reimbursement or other government programs, including Medicare and Medicaid, reputational harm, diminished profits and future earnings, or additional reporting requirements if we become subject to a corporate integrity agreement or other agreement to resolve allegations of non-compliance with any of these laws,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Healthcare Reform and Potential Changes to Healthcare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and some foreign jurisdictions are considering or have enacted a number of legislative and regulatory proposals to change the healthcare system in ways that could affect our ability to sell our future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way of example, PPACA was enacted in March 2010 and has had a significant impact on the health care industry in the United States. PPACA expanded coverage for the uninsured while at the same time containing overall healthcare costs. With regard to biopharmaceutical products, PPACA,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drugs, and created a new Medicare Part D coverage gap discount program.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to the DHHS beginning on January 1, 2022, subject to enforcement via civil money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legislative changes have been proposed and adopted in the United States since the PPACA that affect health care expenditures.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(the “CARES Act”), which was signed into law on March 27, 2020 and was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The 2021 Consolidated Appropriations Act was subsequently signed into law on December 27, 2020 and extended the CARES Act suspension period to March 31, 2021. The most recently enacted pandemic-relief legislation, the American Rescue Plan Act of 2021, which was signed into law on March 11, 2021, also includes significant healthcare system reforms and programs intended to strengthen the insurance marketplace established under the PPACA, among others. In addition, other legislative changes that affect the pharmaceutical industry have been proposed and adopted in the United States since the ACA was enacted. For example, the Inflation Reduction Act of 2022 included, among other things, a provision that authorizes CMS to negotiate a “maximum fair price” for a limited number of high-cost, single-source drugs every year, and another provision that requires drug companies to pay rebates to Medicare if prices rise faster than inflation.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DHHS has solicited feedback on some of various measures intended to lower drug prices and reduce the out of pocket costs of drugs and implemented others under its existing authority. For example, in May 2019, DHHS issued a final rule to allow Medicare Advantage plans the option to use step therapy for Part B drugs beginning January 1, 2020. This final rule codified a DHHS policy change that was effective January 1, 2019. Congress and the executive branch have each indicated that it will continue to seek new legislative and/or administrative measures to control drug costs, making this area subject to ongoing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United States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and other regulatory authorities’ policies also may change and additional government regulations may be enacted that could prevent, limit or delay regulatory approval of our drug candidates. For example, in December 2016, the 21st Century Cures Act (the “Cures Act”) was signed into law. The Cures Act, among other things, is intended to modernize the regulation of drugs and devices and to spur innovation, but its ultimate implementation is uncertain. In addition, in August 2017, the FDA Reauthorization Act was signed into law, which reauthorized the FDA’s user fee programs and included additional drug and device provisions that build on the Cures Act. If we are slow or unable to adapt to changes in existing requirements or the adoption of new requirements or policies, we may not achieve or sustain profitability, which would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PPACA,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regulatory approval is obtained. 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any future pharmaceutical products for which we secure marketing approval.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Privacy and the Protection of Personal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regulated by laws and regulations governing data privacy, security, and the protection of personal information, including health information, that are applicable to our business and associated data processing activities. The legislative and regulatory landscape for privacy and data protection continues to evolve, and there has been an increasing focus on privacy and data protection issues globally which will continue to affect our business. In the United States, we may be subject to state data breach notification laws, state laws protecting the privacy and security of health and personal information and federal and state consumer protections laws which regulate the collection, use, disclosure and transmission of personal information. These laws may overlap and conflict with each other, and each of these laws is subject to varying interpretations by courts and government agencies, creating complex compliance issues for us. If we fail to comply with applicable data protection laws and regulations we could be subject to penalties or sanctions, including criminal penalties. Our current and future customers and research partners must comply with laws governing the privacy and security of health information, including HIPAA and state health information privacy laws. If we knowingly obtain health information that is protected under HIPAA, called “protected health information,” without observing the correct protocols which may include execution of a business associate agreement, implementation of privacy or security measures, and other obligations, our customers or research collaborators may be subject to enforcement actions, and we may have direct liability for the unlawful receipt of protected health information or for aiding and abetting a HIPAA violation.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laws protecting health and personal information are becoming increasingly stringent. For example, California has implemented the California Confidentiality of Medical Information Act, which imposes restrictive requirements regulating the use and disclosure of health information and other personally identifiable information. Washington has enacted the My Health My Data Act, which will (with certain exceptions) become effective on March 31, 2024, and Nevada’s Consumer Health Privacy Law will enter into force on March 31, 2024. The development of general state privacy laws has been even more rapid. In 2020 California implemented the California Consumer Privacy Act of 2018 (“CCPA”). The CCPA reflects several key concepts included in the European Union General Data Protection Regulation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On January 1, 2023, the California Privacy Rights Act (“CPRA”) entered into force and significantly modified the CCPA. This may result in further uncertainty, additional costs and expenses in an effort to comply, as well as additional potential for harm and liability for failure to comply. In addition to California, twelve other states have enacted state data privacy laws, and in five of these states – Colorado, Connecticut, Nevada, Utah and Virginia – these laws have entered into force in 2023. Other states in the U.S. are considering privacy laws similar to CCPA/CPRA and other state privacy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do business and/or conduct clinical trials in the UK or the EEA (i.e., the EU plus Liechtenstein, Norway and Iceland), we are subject to the GDPR as well as the GDPR as saved into United Kingdom law by virtue of section 3 of the United Kingdom’s European Union (Withdrawal) Act 2018 and the UK’s Data Protection Act 2018 (the “UK GDPR”). The GDPR and UK GDPR apply to business colleagues, employees, service providers, trial participants and other individuals like investigators or CRO employees who are residents of the UK or EEA. Violations of the UK GDPR and/or the GDPR can carry hefty fines of up to EUR 20 million / £17.5 million or 4% of the total annual worldwide revenue in the preceding financial year, whichever is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Foreign Corrupt Practices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Foreign Corrupt Practices Act of 1977, as amended, or the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 Importantly, United States authorities deem most healthcare professionals and other employees of foreign hospitals, clinics, research facilities and medical schools in countries with public healthcare and/or public education systems to be “foreign officials” under the FCPA. When we interact with foreign healthcare professionals and researchers in testing and marketing our products abroad, should any of our product candidates receive foreign regulatory approval in the future, we must have policies and procedures in place sufficient to prevent us and agents acting on our behalf from providing any bribe, gift or gratuity, including excessive or lavish meals, travel or entertainment in connection with marketing our products and services or securing required permits and approvals.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Commercialization Agreement with Indegene,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7, 2023, we entered into the Commercialization Agreement with Indegene. The Commercialization Agreement governs the general terms under which Indegene would provide commercialization services for CTx-1301, if we receive FDA approval for CTx-1301 and should we be unable to identify an appropriate pharmaceutical partnership, upon our request. Pursuant to the Commercialization Agreement, the parties will enter into statements of work that will set forth, among other things, the services to be performed by Indegene, the deliverables for such services, and the fees to be paid by us. Each statement of work will be governed by the terms of the Commercialization Agreement, unless expressly modified in such statement of work. We may elect to receive the following services from Indegene: (a) medical affairs &amp; pharmacovigilance; (b) pricing, reimbursement and market access; (c) commercial operations; and (d) marketing (including field force). The parties will negotiate in good faith any changes to the services provided by Indegene due to changes in circumstances or priorities established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Agreement will expire three years after the launch of CTx-1301. We may terminate the Commercialization Agreement upon six (6) months prior written notice to Indegene with no fee payable by us to Indegene. Indegene may terminate the Commercialization Agreement upon twelve (12) months prior written notice to us. In addition, either party may terminate the Commercialization Agreement upon thirty (30) days prior, written notice if: (i) the FDA notifies us that it will not approve our NDA for CTx-1301; or (ii) we suspend or terminate our clinical development program for CTx-1301 in the United States. Either party may terminate the Commercialization Agreement upon thirty (30) days prior, written notice for material, uncured breaches or immediately in the event of the other party’s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the Commercialization Agreement, except for medical information services, the development and publication of peer-reviewed articles and pharmacovigilance services, Indegene will not provide strategic health care provider and/or patient marketing support (or any other types of services that are in the same category) to any party except us with respect to any ADHD product. Until the date of any notice of termination of the Commercialization Agreement or any notice of termination of a given service, we will not engage a party other than Indegene to provide any services with respect to commercialization of CTx-1301 that are in the same category as any of the services being provided to us by Indegene without Indegene’s written approval, not to be unreasonably withheld, subject to certain exceptions.</w:t>
      </w:r>
    </w:p>
    <w:p>
      <w:pPr>
        <w:pStyle w:val="TextBody"/>
        <w:bidi w:val="0"/>
        <w:spacing w:before="0" w:after="0"/>
        <w:ind w:left="0" w:right="0" w:firstLine="874"/>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Agreement contains representations, warranties, confidentiality and indemnity obligations customary for agreements of this type.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Services Agreement with Societal CDMO, Inc. (dba Bend Bioscience)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24, 2022, we entered into a master services agreement with Societal CDMO, Inc. (the “Manufacturing Agreement”). In September 2024, Societal CDMO, Inc. was acquired by, and began doing business as, Bend Bioscience. The Manufacturing Agreement governs the general terms under which Bend Bioscience, or one of its affiliates, will provide manufacturing services as specified by us at Bend Bioscience’s Gainesville, Georgia manufacturing facility. Such services are performed under agreed statements of work. Under the terms of the Manufacturing Agreement, we have agreed to pay fees for Bend Bioscience’s performance of services as provided in each applicable statement of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Agreement terminates in October 2027 or such later date as required to complete a statement of work (the “Initial Term”) and will renew automatically thereafter for successive twelve (12) month periods (a “Renewal Term”) unless terminated by either party at least twelve (12) months (if prior to the successful completion of process validation batches for the first product) or twenty-four (24) months (after successful completion of validation batches for the first product) prior to the end of the Initial Term or any Renewal Term. The term of each statement of work terminates upon completion of the services under such statement of work, unless terminated earlier. We may terminate the Manufacturing Agreement or any statement of work upon ninety (90) days prior, written notice to Bend Bioscience. Bend Bioscience may terminate a statement of work due to certain delays or inactivity or if the services provided under such statement of work cannot be performed in accordance with applicable regulatory requirements; provided, that Bend Bioscience shall use commercially reasonable efforts to engage in meaningful discussions with us prior to any such termination. Bend Bioscience may terminate the Agreement upon six (6) months prior, written notice if all statements of work have been terminated. The Manufacturing Agreement or a statement of work may be terminated by either party for material, uncured breaches or in the event of the other party’s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Agreement includes customary terms relating to, among others, indemnification, intellectual property protection, confidentiality, remedies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and Know-How License Agreement with BDD Pharma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patent and know-how license agreement with BDD Pharma in August 2018, which we refer to as the BDD Pharma License Agreement. Pursuant to the BDD Pharma License Agreement, we have an exclusive license under technology, patents and know-how owned or controlled by BDD Pharma and relating to a barrier layer for controlled drug release in order to develop, manufacture, market, use, import, sell or otherwise supply and commercialize products that (i) deliver three distinct doses of dextroamphetamine, dexmethylphenidate or any methylphenidate based or any amphetamine based drug, (ii) have an extended release in vitro over a period of more than eight hours or (iii) are otherwise covered by the patents or are made, developed or used in accordance with the know-how. We also have the right to apply for marketing approvals and carry out clinical trials for the purpose of obtaining marketing approvals of such products. The rights granted to us are worldwide and exclusive in the field of the treatment of any disease or disorder in humans amenable to treatment with a methylphenidate-based or amphetamine-based drug or mixture or combination thereof. We have the right to sublicense the rights granted to us, subject to certain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BDD Pharma was entitled to a payment of $198,625 in connection with execution of the BDD Pharma License Agreement. We may be required to pay BDD Pharma aggregate milestone payments of $750,000 ($250,000 of which has already been paid) for each product in connection with clinical trial and regulatory milestones, with different dose strengths of a product being considered the same product for purposes of milestone payments. We may be required to pay BDD Pharma low to mid-single digit royalties on aggregate net sales of products. We may also be required to pay BDD Pharma low to mid-single digit royalties on aggregate net receipts of products based on sales made by our sublicensees and non-royalty sublicensing consideration that we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terminated earlier, the term of the BDD Pharma License Agreement continues until the later of the expiration of the last-to-expire of all the patents licensed to us or the last-to-expire of all of our payment obligations. Our royalty payment obligations expire on a product-by-product and country-by-country basis upon the later of 10 years from the first commercial sale of a product in a country or expiration of the last-to-expire patent covering the manufacture, use or sale of the product in a country. Currently, the last-to expire patent licensed from BDD Pharma expires in November of 2035. Upon expiration of our royalty payment obligations, the licenses granted to us become fully-paid, irrevocable and perpetual.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BDD Pharma, may terminate the BDD Pharma License Agreement if there is an uncured material breach by the other party or in connection with the other party’s insolvency. BDD Pharma may terminate the BDD Pharma License Agreement immediately upon written notice if we, any sublicensee or related party or affiliate directly challenges, or assists a third party in challenging, the validity or enforcement of the patents owned by BDD Biopharma or the secret nature of the know-how.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our goals, it is crucial that we attract and retain talented employees. To facilitate this, we strive to maintain a safe and rewarding workplace, with opportunities for our employees to grow and develop in their careers, supported by competitive pay, comprehensive benefits and health and wellness programs, and programs that build connections among our employees. Our compensation program includes the granting of stock options to attract, retain, and incentivize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employed thirteen (13) employees. Of these, seven (7) are engaged in research and development and manufacturing activities, and six (6) in general and administrative functions. All of our employees are located in the United States. We utilize outside consultants and independent contractors to supplement our full-time workforce. None of our employees are represented by a labor organization or are under a collective-bargaining arrangement. We consider our employee relations to be good.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is a Delaware corporation that was formed in May 2021 to serve as a holding company. CTx is a Delaware limited liability company that was formed in November 2012. In connection with the consummation of our initial public offering (“IPO”), on September 29, 2021, Cingulate Inc. acquired CTx through the merger of a wholly-owned acquisition subsidiary of Cingulate Inc. with and into CTx (the “Reorganization Merger”). As a result of the Reorganization Merger, CTx became a wholly-owned subsidiary of Cingulate Inc. Unless otherwise stated or the context otherwise requires, all information in this prospectus reflects the consummation of the Reorganization Merger and the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executive offices are located at 1901 West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Place, Kansas City, Kansas 66205 and our telephone number is (913) 942-2300. Our website address is </w:t>
      </w:r>
      <w:r>
        <w:rPr>
          <w:rFonts w:ascii="Times New Roman;Times;Serif" w:hAnsi="Times New Roman;Times;Serif"/>
          <w:b w:val="false"/>
          <w:i/>
          <w:caps w:val="false"/>
          <w:smallCaps w:val="false"/>
          <w:sz w:val="20"/>
        </w:rPr>
        <w:t>www.cingulate.com</w:t>
      </w:r>
      <w:r>
        <w:rPr>
          <w:rFonts w:ascii="Times New Roman;Times;Serif" w:hAnsi="Times New Roman;Times;Serif"/>
          <w:b w:val="false"/>
          <w:i w:val="false"/>
          <w:caps w:val="false"/>
          <w:smallCaps w:val="false"/>
          <w:sz w:val="20"/>
        </w:rPr>
        <w:t>. The information contained in, or accessible through, our website does not constitute a part of this prospectus. We have included our website address in this annual report solely as an inactive textual reference.</w:t>
      </w:r>
    </w:p>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935"/>
        <w:gridCol w:w="1460"/>
      </w:tblGrid>
      <w:tr>
        <w:trPr/>
        <w:tc>
          <w:tcPr>
            <w:tcW w:w="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1" w:name="D_003"/>
            <w:bookmarkEnd w:id="41"/>
            <w:r>
              <w:rPr>
                <w:rFonts w:ascii="Times New Roman;Times;Serif" w:hAnsi="Times New Roman;Times;Serif"/>
                <w:b/>
                <w:i w:val="false"/>
                <w:caps w:val="false"/>
                <w:smallCaps w:val="false"/>
                <w:sz w:val="20"/>
              </w:rPr>
              <w:t xml:space="preserve">ITEM 1A. </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future operating results could differ materially from the results described in this annual report due to the risks and uncertainties described below. You should consider carefully the following information about risks in evaluating our business. If any of the following risks actually occur, our business, financial condition,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securities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 Looking Statements” for a discussion of some of the forward-looking statements that are qualified by these risk factors. Factors that could cause or contribute to such differences include those factors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key risks and uncertainties that could materially adversely affect us. You should read this summary together with the more detailed description of each risk factor contained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with a limited operating history and need additional capital to continue operations, including to advance and commercialize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 history of operating losses and expect to continue to incur substantial costs for the foreseeable future. We are not currently profitable, and we may never achieve or sustain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raise significant additional capital to continue operations, including to complete the development and commercialization efforts for CTx-1301, CTx-1302 and/or CTx-2103. If we are unable to raise additional capital, we could be required to seek bankruptcy protection or other alternatives that would likely result in our securityholders losing some or all of their investment in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 and Note issued in December 2024 contain restrictive covenants and adjustments in the event of a default that may limit our operating flexibility and affect our business operations and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regain and maintain compliance with the continued listing requirements of Nasdaq, our common stock and/or warrants may be delisted and the price of our common stock and/or warrants and our ability to access the capital markets could be negatively impacted.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primarily on the successful development and commercialization of our product candidates, CTx-1301 and CTx-1302 for the treatment of ADHD and CTx-2103 for the treatment of anxiety, which are in either in product/early clinical development (CTx-2103), clinical development (CTx-1301) or planned for future product development (CTx-1302) and are not yet approved. We cannot give any assurance that we will receive regulatory approval for such product candidates or any other product candidates, which is necessary before they can be commercialized.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regulatory approval for CTx-1301, CTx-1302 and CTx-2103, such approval may be limited, and we will be subject to stringent, ongoing government regulation. The commercial success of our product candidates, if approved, depends partially upon attaining market acceptance by physicians, patients, third-party payors, and the medical community.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issues around the abuse of opioids and stimulants, including law enforcement concerns over diversion and regulatory efforts to combat abuse, could decrease the potential market for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extensive regulatory requirements, and our product candidates that obtain approval will be subject to ongoing and continued regulatory review, which may result in significant expense and limit our ability to commercialize such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limited sources of supply for CTx-1301 and CTx-1302 as these are scheduled products, and any disruption in the chain of supply may impact production and sales of CTx-1301 and CTx-1302 and cause delays in developing and commercializing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manufacture and package our product candidates and to conduct our clinical trials and our regulatory submissions for our product candidates, and those third parties may not perform satisfactorily, including failing to meet deadlines for the manufacture and delivery of our product candidates, completion of such trials and/or regulatory submissions.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rely on third parties to commercialize our product candidates and we may rely on third parties to perform many essential services for any products that we commercialize, including distribution, customer service, accounts receivable management, cash collection and adverse event reporting. If these third parties fail to perform as expected or to comply with legal and regulatory requirements, our ability to commercialize CTx-1301, CTx-1302, and/or CTx-2103 will be significantly impacted and we may be subject to regulatory sanctions.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or establish collaborations, we may have to alter our development and commercialization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further increase the size and complexity of our organization in the future, and we may experience difficulties in executing our growth strategy and managing any growth.</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focused on discovering and developing product candidates, which may not make it to the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on information technology, and our systems and infrastructure face certain risks, including cybersecurity and data leakage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intellectual property related to our products or product candidates is not adequate, we may not be able to compete effectively in our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our securities may not be sustained.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Need for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biopharmaceutical company with a limited operating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with a limited operating history upon which you can evaluate our business and prospects. We must complete clinical studies and receive regulatory approval before commercial sales of a product can commence. The likelihood of success of our business plan must be considered in light of the problems, substantial expenses, difficulties, complications and delays frequently encountered in connection with developing and expanding early-stage businesses and the regulatory and competitive environment in which we operate. Pharmaceutical product development is a highly speculative undertaking, involves a substantial degree of risk and is a capital-intensive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you should consider our prospects in light of the costs, uncertainties, delays and difficulties frequently encountered by companies in the early stages of development, especially early-stage pharmaceutical companies such as ours. Potential investors should carefully consider the risks and uncertainties that a company with a limited operating history will face. In particular, potential investors should consider that we cannot assure you that we will be able to,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implement or execute our business plan, and we cannot assure you that our business plan is sound;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complete product development/formulation, and clinical trials for CTx-1301, CTx-1302, and/or CTx-2103 as well as for the marketing of any or all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manufacture or have manufactured clinical product and establish commercial drug supply in light of the manufacturing delays we experienced prior to October 2022 with respect to the clinical supply of CTx-1301 at our former contract manufacturing organization (“CMO”);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 sufficient funds in the capital markets or otherwise to effectuate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adequate intellectual property protection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an experienced management and advisory team in light of the departure of executive officers and other employees in December 2023;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acceptance of our drug candidates in the medical community and with third-party payors and consumers;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 partnership for CTx-1301 or our other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commercial sales of our drug candidates, whether alone or in partnership with others;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post-marketing regulatory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utilize the funds that we do have and/or raise in the future to efficiently execute our business strategy.</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successfully execute any one of the foregoing, our business, financial condition, results of operations and future growth prospects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 history of operating losses and expect to continue to incur substantial costs for the foreseeable future. We are not currently profitable, and we may never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generated revenue from operations and are currently operating at a loss and expect our operating costs will increase significantly as we incur costs related to formulation/manufacturing development, the clinical trials for our drug candidates and operating as a public company. We expect to incur expenses without corresponding revenues unless and until we are able to obtain regulatory approval and successfully commercialize our product candidates, CTx-1301, CTx-1302 and CTx-2103. We may never be able to obtain regulatory approval for the marketing of our drug candidates in any indication in the United States or internationally. Even if we obtain regulatory approval for CTx-1301, CTx-1302 and/or CTx-2103, development expenses will continue to increase for any future assets. As we are performing the data consolidation and analytical activities for CTx-1301 Phase 3 clinical trials in pursuit of FDA approval, we will continue to incur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recurring losses since inception and had an accumulated deficit of approximately $108.5 million as of December 31, 2024. These conditions raise substantial doubt about our ability to continue as a going concern, meaning that we may be unable to continue operations for the foreseeable future or realize assets and discharge liabilities in the ordinary course of operations. If we are unable to obtain further funding, we may be unable to continue operations. Although we continue to pursue these plans, there can be no assurance that we will be successful in obtaining sufficient funding on terms acceptable to us to fund continuing operations,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expend substantial cash resources for the foreseeable future for the clinical development of our product candidates and development of any other indications and product candidates we may choose to pursue. These expenditures will include costs associated with manufacturing and clinical development, such as conducting clinical trials, manufacturing operations and product candidate supply, as well as marketing and selling any products approved for sale. Because the conduct and results of any clinical trial are highly uncertain, we cannot reasonably estimate the actual amounts necessary to successfully complete the development and commercialization of our current and any future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uncertain when or if we will be able to achieve or sustain profitability. If we achieve profitability in the future, we may not be able to sustain profitability in subsequent periods. Failure to become and remain profitable would impair our ability to sustain operations and adversely affect the price of our securities and our ability to raise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significant additional capital to continue operations. If we are unable to raise capital, we could be required to seek bankruptcy protection or other alternatives that would likely result in our securityholders losing some or all of their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significant additional capital to continue operations and continue to support our planned development and commercialization activities. We believe that our cash on hand will satisfy our capital needs into the fourth quarter of 2025 under our current business plan. We have based these estimates, however, on assumptions that may prove to be wrong, and we could spend our available capital resources much faster than we currently expect or require more capital to fund our operations than we currently expect. The amount and timing of our future funding requirements will depend on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rate of progress and cost of any clinical trials and other manufacturing/product development activities for our current and any future product candidates that we develop, in-license or acquire;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clinical trials for our product candidates in the United States and any foreign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the costs involved in, FDA approval and any foreign regulatory approval of our product candidates, if at all;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characteristics of any additional future product candidates we develop or acquire;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partnerships, licensing, co-promotion or other arrangements and the terms and timing of such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commercialization activities if our current or any future product candidates are approved for sale, including manufacturing, marketing, sales and distribution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and rate of market acceptance of any approved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under our third-party manufacturing and supply arrangements for our current and any future product candidates and any products we commercialize;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timing of completion of any additional outsourced commercial manufacturing or supply arrangements that we may establish;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our third-party service providers to continue to provide services based on our limited liquidity and those service providers not requiring pre-payment for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preparing, filing, prosecuting, maintaining, defending and enforcing any patent claims and other intellectual property rights associated with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prosecuting or defending any litigation that we are or may become involved in and any damages payable by us that result from such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product recall that could occur;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operating as a public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approval, availability, perceived advantages, relative cost, relative safety and relative efficacy of alternative and competing products or treatments;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acquisition or in-license of products and product candidates, technologies or businesses;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facilities and equipment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compliance with the terms of the Note Purchase Agreement and Note issued by us in December 2024.</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additional funding will be available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issued the Note to Lender. Pursuant to the Note Purchase Agreement, while the Note is outstanding, we will not enter into any arrangement that prohibits us from entering into a variable rate transaction until July 1, 2025, subject to certain exceptions. Also, while the Note is outstanding, upon any issuance by us of any debt security with any economic term or condition more favorable to the holder of such security that was not provided to Lender pursuant to the Note, then, at Lender’s option, such additional term shall become part of the Note. The Note also provides that following an event of default under the Note, Lender has the right to seek and receive injunctive relief from a court or an arbitrator prohibiting us from issuing any of our common stock or preferred stock to any party unless fifty percent of the gross proceeds received by us in connection with such issuance are simultaneously used to make a payment under the Note. Additionally, Lender has the right to seek and receive injunctive relief from a court or arbitrator to prevent the consummation of any fundamental transaction, as defined in the Note, unless it contains a closing condition that the Note is paid in full upon consummation of the transaction or Lender has provided its written consent to such transaction.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debt financing into which we may enter may impose upon us covenants that restrict our operations, including limitations on our ability to incur liens or additional debt, pay dividends, redeem our stock, make certain investments and engage in certain merger, consolidation or asset sale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or if we are unable to enter into strategic collaborations for CTx-1301, CTx-1302, and/or CTx-2103, we may be required to further restrict our operations or obtain funds by entering into agreements on unattractive terms, which would likely have a material adverse effect on our business, stock price and our relationships with third parties with whom we have business relationships, at least until additional funding is obtained. If we do not have sufficient funds to continue operations, we could be required to seek bankruptcy protection or other alternatives that would likely result in our securityholders losing some or all of their investment in us. In addition, our ability to achieve profitability or to respond to competitive pressures would be significantly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are unable to secure sufficient capital to fund our operations, we may have to enter into strategic collaborations that could require us to share commercial rights to CTx-1301, CTx-1302, and/or CTx-2103 with third parties in ways that we currently do not intend or on terms that may not be favorable to us or our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 Purchase Agreement and Note issued by us in December 2024 contain restrictive covenants and adjustments in the event we default on the Note that may limit our operating flexibility and impact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we entered into a Note Purchase Agreement with Streeterville Capital, LLC, or Lender, pursuant to which we issued and sold to Lender an unsecured promissory note, or Note, in the amount of $5,480,000. The Note bears interest at a rate of 9% per annum and matures 18 months after its issuance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provides for customary events of default, including, among other things, the event of nonpayment of principal, interest, fees or other amounts, a representation or warranty proving to have been incorrect when made, failure to perform or observe covenants within a specified cure period, a cross-default to certain our other indebtedness and material agreements, and the occurrence of a bankruptcy, insolvency or similar event. Upon the occurrence of an event of default that is deemed a “Major Trigger Event” as defined in the Note, Lender may increase the outstanding balance of the Note by 15%, and upon the occurrence of an event of default that is deemed a “Minor Trigger Event” as defined in the Note, Lender may increase the outstanding balance of the Note by 5%. Lender can exercise its right to increase the outstanding balance upon a Major or Minor Trigger Event three times each. Upon the occurrence of an event of default, Lender may declare all amounts owed under the Note immediately due and payable. In addition, upon the occurrence of an event of default, upon the election of Lender, interest shall begin accruing on the outstanding balance of the Note from the date of the event of default equal to the lesser of 22% per annum and the maximum rate allowable under law. There can be no assurance that we will be able to comply with the terms of the Note Purchase Agreement and Note, and if an event of default occurs, it may have significant detrimental effects on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Note Purchase Agreement, we are subject to certain restrictions on our ability to issue securities during the term of the Note. Specifically, we have agreed, among other things, to obtain Lender’s consent prior to issuing any debt securities or certain equity securities where the pricing of such equity securities is tied to the public trading price of our common stock and to refrain from entering into any agreement or covenant that locks up, restricts or otherwise prohibits us from entering into a variable rate transaction with Lender or any of its affiliates, or from issuing common stock or other equity or debt securities to Lender or any of its affiliates. If we are unable to obtain Lender’s consent prior to issuing any debt or certain equity securities, such issuance may be a breach of the Note Purchase Agreement, and we may be obligated to indemnify Lender for loss or damage arising as a result of any breach or alleged breach by us of the Note Purchase Agreement, which may affect our business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beginning on July 2, 2025, Lender may redeem a portion of the Note, not to exceed an amount of $550,000 per month. Our failure to pay such redemptions, when due, may result in defaults under our agreements with the Lender. If we are in default with respect to our obligations under the Note, the Lender may consider the Note immediately due and payable and may elect to substantially increase the interest rate of the Note. We may not have the required funds to pay the required note redemptions and such redemptions, or penalties in connection therewith, may have an adverse effect on our cash flows, results of operations, and ability to pay our other debts as they come due.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stockholders, restrict our operations or require us to relinquish rights to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in our company may be diluted, and the terms of these securities may include liquidation or other preferences that adversely affect your rights as a stockholder.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product candidates’ development or future commercialization efforts, or grant rights to develop and market product candidates that we would otherwise develop and market ourselves.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tax laws may materially adversely affect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 laws, regulations and policies of the jurisdictions in which we do business, which may include United States federal, state, and local governments and taxing authorities in foreign jurisdictions. Changes in tax laws, as well as other factors, could cause us to experience fluctuations in our tax obligations and otherwise adversely affect our tax positions and/or our tax liabilities. The income tax rules in the jurisdictions in which we operate are constantly under review by taxing authorities and other governmental bodies. Changes to tax laws (which changes may have retroactive application) could adversely affect us or our stockholders. We are unable to predict what tax proposals may be proposed or enacted in the future or what effect such changes would have on our business, but such changes, to the extent they are brought into tax legislation, regulations, policies or practices, could affect our financial position and overall effective tax rates in the future in jurisdictions where we have operations, and increase the complexity, burden, and cost of tax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losses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operating loss carryforwards (“NOLs”), and certain other tax attributes could be unavailable to offset future income tax liabilities because of restrictions under U.S. tax law. Under the Tax Cuts and Jobs Act, or the TCJA, federal NOLs generated in tax years ending after December 31, 2017 may be carried forward indefinitely. The carryforwards are limited to 80% of each subsequent year’s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Sections 382 and 383 of the Code, contain rules that limit the ability of a corporation that undergoes an “ownership change” (generally, any change in ownership of more than 50% of the corporation’s stock over a three-year period) to utilize its pre-change NOLs and tax credit carryforwards to offset future taxable income. These rules generally operate by focusing on ownership changes involving stockholders owning directly or indirectly 5% or more of the stock of a corporation and any change in ownership arising from a new issuance of stock by the company. Generally, if an ownership change occurs, the yearly taxable income limitation on the use of NOLs and tax credit carryforwards and certain built-in losses is equal to the product of the applicable long-term, tax-exempt rate and the value of the corporation’s stock immediately before the ownership change. As a result, following any such ownership change, we might be unable to offset our taxable income with losses, or our tax liability with credits, before such losses and credits expire, in which event we could incur larger federal and state income tax liabilities than we would have had we not experienced an ownership change.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report of our independent registered public accounting firm for the fiscal years ended December 31, 2024 and 2023 contains an explanatory paragraph regarding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our independent registered public accounting firm on our financial statements as of and for the years ended December 31, 2024 and December 31, 2023 includes an explanatory paragraph indicating that there is substantial doubt about our ability to continue as a going concern. Since inception, we have experienced recurring operating losses and negative cash flows, and we expect to continue to generate operating losses and consume significant cash resources for the foreseeable future. Without additional financing, these conditions raise substantial doubt about our ability to continue as a going concern, meaning that we may be unable to continue operations for the foreseeable future or realize assets and discharge liabilities in the ordinary course of operations. If we are unable to obtain funding, we may be unable to continue operations. Although we continue to pursue these plans, there can be no assurance that we will be successful in obtaining sufficient funding on terms acceptable to us to fund continuing operations,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Development, Clinical Testing, Manufacturing and Regulatory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heavily on the success of CTx-1301. If we are unable to generate revenues from CTx-1301, our ability to create stockholder value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product candidate currently is CTx-1301, for which we are anticipating to submit a NDA application with the FDA in mid-2025. We do not generate revenues from any FDA approved drug products and our other product candidates are in the early stages of development. There is no guarantee that our clinical trials will be successful or that we will continue with clinical studies to support an approval from the FDA of any of our product candidates for any indication. We note that most drug candidates never reach the clinical development stage and even those that do have only a small chance of successfully completing clinical development and gaining regulatory approval. Therefore, our business currently depends heavily on the successful development, regulatory approval and commercialization of CTx-1301, which may never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primarily on the successful development and commercialization of our product candidates, CTx-1301 and CTx-1302 for the treatment of ADHD and CTx-2103 for the treatment of anxiety, which are either in product/early clinical development (CTx-2103), clinical development (CTx-1301) or planned for future product development (CTx-1302) and are not yet approved. We cannot give any assurance that we will receive regulatory approval for such product candidates or any other product candidates, which is necessary before they can be commercialized.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completed development of and/or obtained regulatory approval for any of our product candidates. Development will require the commitment of substantial financial resources, extensive product candidate development, and clinical trials. This process takes years of effort without any assurance of ultimate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our product candidates will depend heavily on their successful development, regulatory approval, and eventual commercialization. CTx-2103 and CTx-1302 are in the early stages of development, and we do not expect those product candidates to generate revenue for several years, if ever. The success of our product candidates will depend on many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product development and requisite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and achievement of endpoints in our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that the risks involved with our product candidates are outweighed by the benefits;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development of our manufacturing processes for our product candidates, including entering into and maintaining arrangements with third-party manufacturers;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an FDA preapproval inspection of the facilities used to manufacture our product candidates, as well as select clinical trial sites;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timely marketing approvals from applicable regulatory authorities, including the determination by the DEA of the controlled substance schedule for a product candidate, taking into account the recommendation of the FDA;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trademark and trade secret protection and regulatory exclusivity for our product candidates and otherwise protecting our rights in our intellectual property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compliance with regulatory requirements, including current good manufacturing practices, or cGMPs;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commercial sales of product candidates, if and when approved, whether alone or in collaboration with others;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drug product candidates, if approved, by patients, the medical community and third-party payors;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effectively with other therapies;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healthcare coverage and adequate reimbursement;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and efficacy profile of the drug products following approval.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one or more of the above factors, many of which are beyond our control, in a timely manner or at all, we could experience significant delays and increased costs or an inability to obtain regulatory approvals or commercialize our product candidates. Even if regulatory approvals are obtained, we may never be able to successfully commercialize any of our product candidates. Accordingly, we cannot assure you that we will be able to generate sufficient revenue through the sale of our product candidates or any future product candidates to continue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development efforts with respect to CTx-1301, CTx-1302 and/or CTx-2103 may fail for many reasons,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product candidate in clinical studies;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patient reactions to the product candidate or indications of other safety concerns;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clinical trial data to support the effectiveness or superiority of the product candidate;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manufacture sufficient quantities of the product candidate for development or commercialization activities in a timely and cost-efficient manner;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regulatory environment, including pricing and reimbursement, that make development of a new product or of an existing product for a new indication no longer attractive.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Premarket review of our product candidates by the FDA or other regulatory authorities is a lengthy and uncertain process and approval may be delayed, limited or denied, any of which would adversely affect our ability to generate operating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permitted to market our drug product candidates in the United States until we receive the respective approval of a NDA from the FDA. The time required to obtain approval, if any, by the FDA is unpredictable, but typically takes multiple years following the commencement of clinical trials, and depends upon numerous factors, including the substantial discretion of the regulatory authorities and the type, complexity and novelty of the product candidates involved. We have not submitted a marketing application such as an NDA to the FDA or any similar application to any other regulatory authority in any jurisdiction.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substantial discretion in the drug approval process, including the ability to delay, limit or deny approval of a product candidate for many reasons. For example, the FDA:</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determine that we cannot rely on the 505(b)(2) regulatory approval pathway for CTx-1301, CTx-1302, CTx-2103 or any other product candidate that we may identify and develop;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determine that the information provided by us as part of an IND or NDA is inadequate, contains clinical deficiencies or otherwise fails to demonstrate safety and effectiveness of any of our product candidates for any indication;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find the data from bioequivalence studies and/or clinical trials sufficient to support the submission of an NDA or to obtain marketing approval in the United States, including any findings that the safety risks outweigh clinical and other benefits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require us to perform additional studies to demonstrate the safety, efficacy, pharmacokinetics, or other properties of our product candidates prior to approval, or require such studies as a condition of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disagree with our clinical trial designs or our interpretation of data from product development manufacturing data, bioequivalence studies and/or clinical trials, or may change the requirements for approval even after it has reviewed and commented on the design for our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determine that we inappropriately relied on a certain listed drug or drugs for our 505(b)(2) NDA or that approval of our applications for CTx-1301, CTx-1302, CTx-2103 or any other product candidate is blocked by patent or non-patent exclusivity of the listed drug or drugs;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identify deficiencies in the manufacturing processes or facilities of third-party manufacturers with which we enter into agreements for the supply of the API used in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identify deficiencies in our own manufacturing processes or our proposed scale-up of the manufacturing processes or facilities for the production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approve our product candidates for fewer or more limited indications than we request, or may grant approval contingent on the performance of costly post-approval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change its approval policies or adopt new regulations;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approve the labeling claims that we believe are necessary or desirable for the successful commercialization of our product candidates.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expense of the approval process, as well as the unpredictability of future clinical trial results and other contributing factors, may result in our failure to obtain regulatory approval to market, in the United States or other jurisdictions, CTx-1301, CTx-1302, CTx-2103, or any other drug candidates we are developing or may seek to develop in the future, which would significantly harm our business, results of operations and prospects. In such case, we may also not have the resources to conduct new clinical trials and/or we may determine that further clinical development of any such drug candidate is not justified and may discontinue any such programs.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testing is expensive, difficult to design and implement, can take many years to complete and is outcome uncertain. We may incur additional costs or experience delays in completing, or ultimately be unable to complete, the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impossible to predict when or if any of our product candidates will prove effective or safe in humans and will receive regulatory approval. Before obtaining marketing approval from regulatory authorities for the sale of any product candidate, we must complete product/manufacturing development and then conduct clinical trials to demonstrate the safety and efficacy of our product candidates in humans. Clinical trials are expensive, difficult to design and implement, can take many years to complete and are uncertain as to outcome. A failure of one or more clinical trials can occur at any stage of development. The outcome of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studies, subject population, number of subjects, subject selection criteria, trial duration, drug dosage and formulation and lack of statistical power in the earlier studies. Moreover, clinical data are often susceptible to varying interpretations and analyses, and many companies that have believed their product candidates performed satisfactorily in early and later stage clinical trials have nonetheless failed to obtain marketing approval of their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numerous unforeseen events during, or as a result of, clinical trials that could delay or prevent our ability to receive marketing approval or commercialize our product candidates,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generate satisfactory preclinical, toxicology or other in vivo or in vitro data capable of supporting the initiation or continuation of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or institutional review boards may not authorize us or our investigators to commence a clinical trial, conduct a clinical trial at a prospective trial site or amend clinical trial protocols as needed;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delays in reaching, or fail to reach, agreement on acceptable clinical trial contracts or clinical trial protocols with prospective trial sites and contract research organizations, or CROs;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delay or failure in identifying and maintaining a sufficient number of trial sites, many of which may already be engaged in other clinical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drug development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patients to complete a trial or return for post-treatment follow-up;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monitor patients adequately during or after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and investigators deviating from trial protocols, failing to conduct the trial in accordance with regulatory requirements or dropping out of a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contractors may fail to comply with regulatory requirements or trial protocols, or meet their contractual obligations to us in a timely manner, or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of our product candidates may be greater than we anticipate, including if we are not able to pursue the 505(b)(2) NDA pathway for approval of our product candidates;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initiate or delay of or inability to complete a clinical trial as a result of a clinical hold imposed by the FDA or comparable regulatory authority due to observed safety findings or other reasons;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not agree with our trial design or implementation;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manufacture sufficient quantities of a drug candidate of acceptable quality for use in clinical trials;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may have undesirable side effects or other unexpected characteristics, causing us or our investigators, regulators or institutional review boards to suspend or terminate the trials.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0" w:after="0"/>
        <w:ind w:left="0" w:right="0" w:hanging="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delayed in obtaining marketing approval for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obtain marketing approval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approval for indications or patient populations that are not as broad as intended or desired;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approval but without the claims necessary for us to successfully commercialize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approval with labeling that includes significant use or distribution restrictions or safety warnings;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subject to additional post-marketing testing, surveillance, or other requirements;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the product removed from the market after obtaining marketing approval.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development costs may also increase if we experience delays in testing, clinical trials, manufacturing or obtaining marketing approvals. For example, our development costs increased for CTx-1301 due to rescheduling of the Phase 3 fixed-dose study as a result of manufacturing delays prior to October 2022 for the final dosage strengths needed for that study. We do not know whether any of our clinical trials will begin as planned, will need to be restructured or will be completed on schedule, or at all. In late 2023, we announced a change in the clinical development plan for CTx-1301 based on feedback from FDA, and accordingly stopped enrollment in two Phase 3 trials of CTx-1301 and are performing the data consolidation and analytical activities for these trials in pursuit of NDA submission expected in mid-2025. We may need to restart these trials and/or start new trials in order to win regulatory approval of CTx-1301. We may find it difficult or impossible to restart or start such clinical trials. Significant product manufacturing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regulatory approval for clinical trials of CTx-1301 and CTx-1302 in children and adolescents may require additional studies and/or longer duration of studies since the requirements for regulatory approval for the pediatric populations are more stringent.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Pediatric drug development may require additional studies to determine safe dosing and long-term safety. These additional studies may require investment of significant additional resources beyond those required for regulatory approval of the drugs in adults. Although, we have stopped enrollment in the pivotal Phase 3 fixed-dose pediatric and adolescent safety and efficacy study of CTx-1301 and the Phase 3 pediatric dose-optimization onset and duration study of CTx-1301 and are performing the data consolidation and analytical activities for these trials in pursuit of NDA submission expected in mid-2025, we may have to restart and complete these and other trials in order to obtain approval. Approval of CTx-1301 and CTx-1302 may be delayed due to these additional requirements and this may have an adverse effect on the commercial prospects of CTx-1301 and CTx-1302, as well as delay our ability to generate product revenue, possibly materially. In addition, as a result of COVID-19 (or other potential pandemics), there may be a smaller pool of children from which we can enroll for our clinical trials. We cannot guarantee that we will receive regulatory approval to commercialize our product candidates in the pediatric populations or the adult population.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methods of product candidate manufacturing or formulation may result in additional costs or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product candidates are developed through nonclinical testing and early to late-stage clinical trials towards potential approval and commercialization, various aspects of the development program, such as manufacturing methods and formulation, may be altered 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or they may alter the safety or risk profile of the product candidate that could involve further FDA or other regulatory agency inquiries. Such changes may also require additional testing, FDA notification or FDA approval. This could delay completion of clinical trials, require the performance of bridging clinical trials or the repetition of one or more clinical trials, increase clinical trial costs, delay approval of our product candidates and jeopardize our ability to commence product sales and generate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CTx-1301 and CTx-1302 contain controlled substances, the manufacture, use, sale, importation, exportation, prescribing and distribution of which are subject to regulation by the DEA.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can commercialize our product candidates,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Our CTx-1301 and CTx-1302 product candidates, if approved, will be regulated as “controlled substances” as defined in the CSA and the implementing regulations of the DEA, which establish registration, security, recordkeeping, reporting, storage, distribution, importation, exportation, inventory, quota and other requirements administered by the DEA. These requirements are applicable to us, our contract manufacturers and distributors, as well as prescribers and dispensers of our product candidates. The DEA regulates the handling of controlled substances through a closed chain of distribution. This control extends to the equipment and raw materials used in the manufacturing and packaging, in order to prevent loss and diversion into illicit channels of commerce. A number of states and foreign countries also independently regulate these drugs as controlled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 regulates controlled substances as Schedule I, II, III, IV or V substances. An approved pharmaceutical product may be listed as Schedule II, III, IV or V, depending on the potential for abuse and physical or psychological dependence, with Schedule II substances considered to present the highest risk of abuse and Schedule V substances the lowest relative risk of abuse among such substances. Schedule II drugs are those that meet the following characteristics: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has a high potential for abuse;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has a currently accepted medical use in treatment in the United States or a currently accepted medical use with severe restrictions;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abuse of the drug may lead to severe psychological or physical dependence.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active pharmaceutical ingredients in CTx-1301 and CTx-1302 (dexmethylphenidate and dextroamphetamine) are currently listed as Schedule II products. We expect that some of our future product candidates may also be listed by the DEA as Schedule II controlled substances under the CSA. Consequently, the manufacturing, shipping, storing, selling and using of the products, if approved, will be subject to a high degree of regulation. Schedule II drugs are subject to the strictest requirements for registration, security, recordkeeping and reporting, and the distribution, prescribing and dispensing of these drugs are highly regulated.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registration is required for any facility that manufactures, distributes, dispenses, imports or exports any controlled substance. The registration is specific to the particular location, activity and controlled substance schedule.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DEA quota system controls and limits the availability and production of controlled substances, and our products may be subject to the DEA’s production and procurement quota scheme. The DEA establishes an aggregate quota for how much of a controlled substance may be produced in total in the United States based on the DEA’s estimate of the quantity needed to meet legitimate scientific and medicinal needs. Manufacturers of controlled substances are required to apply for quotas on an annual basis. If we or our contract manufacturers or suppliers do not obtain a sufficient quota from DEA, we may not be able to obtain sufficient quantities of these controlled substances in order to complete our clinical trials or meet commercial demand, if our product candidates are approved for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their restrictive nature, these laws and regulations could limit commercialization of our product candidates containing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experience delays or difficulties in the enrollment of subjects in clinical trials, our receipt of necessary regulatory approvals could be delayed or prevented.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subject population specified in the trial protocol;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study in question;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product candidate under study;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product candidate may be a controlled substance;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or unexpected drug-related adverse events experienced by subjects in a clinical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drugs approved to treat the diseases or conditions under study;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efforts to facilitate timely enrollment in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obtain and maintain subject informed consent;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retain subjects in the clinical trial and their return for follow-up;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trial design, including required tests, procedures and follow-up;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subjects adequately during and after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adding new investigators and clinical sites;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sites from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of other drug candidates in clinical development for the same indication;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subjects.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or all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obtaining regulatory approvals for the commercial sale of our product candidates, we must demonstrate thorough, lengthy, complex and expensive product development and clinical trials that our product candidates are both safe and effective for use in each target indication, and failures can occur at any stage of development. Clinical trials often fail to demonstrate safety and efficacy of the product candidate studied for the target indication.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many pharmaceutical products, treatment with our product candidates may produce undesirable side effects or adverse reactions or events. Although our product candidates contain active pharmaceutical ingredients that have already been approved, meaning that the side effects arising from the use of the active pharmaceutical ingredient or class of drug in our product candidates are generally known, our product candidates still may cause undesirable side effects.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 candidates are associated with serious side effects in clinical trials or have characteristics that are unexpected, we may need to limit development to more narrow uses or subpopulations in which the side effects or other characteristics are less prevalent, less severe or more acceptable from a risk-benefit perspective. The FDA or an institutional review board may also require that we suspend, discontinue, or limit our clinical trials based on safety information to limit potential serious harm to enrolled subjects. Such findings could further result in regulatory authorities failing to provide marketing authorization for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cause adverse effects or have other properties that could delay or prevent their regulatory approval or limit the scope of any approved label or market acceptance, or result in significant negative consequences following marketing approval,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products cause serious or unexpected side effects after receiving market approval, a number of potentially significant negative consequences could result,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require additional clinical testing or clinical trials or costly post-marketing testing and surveillance to monitor the safety and efficacy of the product;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their approval of the product or impose restrictions on its distribution;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 or we may be required to implement a REMS to ensure that the benefits of the product outweigh the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warnings or contraindications;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the product is distributed or administered;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voluntarily recall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individuals exposed to or taking our product candidates;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the affected product or product candidate and could substantially increase the costs of commercializing our products and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FDA does not conclude that our product candidates are sufficiently bioequivalent, or have comparable bioavailability, to approved reference drugs, or if the FDA does not allow us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505(b)(2) of the FDCA permits the filing of an NDA where at least some of the information required for approval comes from investigations that were not conducted by or for the applicant and for which the applicant has not obtained a right of reference or use from the person by or for whom the investigations were conducted. The FDA interprets Section 505(b)(2) of the FDCA, for the purposes of approving an NDA, to permit the applicant to rely, in part, upon published literature or the FDA’s previous findings of safety and efficacy for an approved product. The FDA may also require the applicant to perform additional clinical trials or measurements to support any deviation from the previously approved product. The FDA may then approve the new product candidate for all or some of the label indications for which the referenced product has been approved, as well as for any new indication sought by the Section 505(b)(2) applicant. The FDA may require an applicant’s product label to have all or some of the limitations, contraindications, warnings or precautions included in the reference product’s label, including a black box warning, or may require the label to have additional limitations, contraindications, warnings or precautions. A key element of our strategy is to seek FDA approval for our current product candidates, CTx-1301, CTx-1302, and CTx-2103, through the 505(b)(2) NDA pathway. If the FDA determines that our product candidates do not meet the requirements of Section 505(b)(2), or if we cannot demonstrate bioequivalence or comparable bioavailability of our product candidates to approved products, we may need to conduct additional clinical trials, provide additional data and information, and meet additional standards for regulatory approval applicable to a traditional NDA submitted pursuant to Section 505(b)(1). Moreover, even if the FDA does allow us to pursue the 505(b)(2) NDA pathway, depending on the product candidate, we may still need to conduct additional clinical trials, including clinical trials to assess product safety or efficacy. If this were to occur, the time and financial resources required to obtain FDA approval for our product candidates, and complications and risks associated with our product candidates, would likely substantially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an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that our product candidates will receive the requisite approvals for commercialization on a timely basis, if at all. Other companies may achieve product approval of similar products before we do, which would delay our ability to obtain product approval, and expose us to greater 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approval of a number of products by the FDA under 505(b)(2) over the last few years, some pharmaceutical companies and others have objected to the FDA’s interpretation of 505(b)(2) of the FDCA to allow reliance on the FDA’s prior findings of safety and effectiveness. If the FDA changes its interpretation of Section 505(b)(2), or if the FDA’s interpretation of 505(b)(2) is successfully challenged in court it could delay or even prevent the FDA from approving any 505(b)(2) NDA that we submit in the future. Moreover, the FDA has adopted an interpretation of the three-year exclusivity provisions whereby a 505(b)(2) application can be blocked by exclusivity even if it does not rely on the previously-approved drug that has exclusivity (or any safety or effectiveness information regarding that drug). Under the FDA’s interpretation, the approval of one or more of our product candidates may be blocked by exclusivity awarded to a previously-approved drug product that shares certain innovative features with our product candidates, even if our 505(b)(2) application does not identify the previously-approved drug product as a listed drug or rely upon any of its safety or efficacy data.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product candidates are approved under 505(b)(2) regulatory pathway, the approval may be subject to limitations on the indicated uses for which the products may be marketed, including more limited subject populations than we request, may require that contraindications, warnings or precautions be included in the product labeling, including a black box warning, may be subject to other conditions of approval, or may contain requirements for costly post-marketing clinical trials, testing and surveillance to monitor the safety or efficacy of the products, or other post-market requirements, such as a REMS. The FDA also may not approve a product candidate with a label that includes the labeling claims necessary or desirable for the successful commercialization of that product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within the United States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to receive applicable marketing approvals, our target market will be reduced and our ability to realize the full market potential of our product candidates will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acceptance of study data from clinical trials conducted outside the United States or another jurisdiction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any foreign trials would be subject to the applicable local laws of the foreign jurisdictions where the trials are conducted. There can be no assurance that the FDA or any applicable foreign regulatory authority will accept data from trials conducted outside of the United States or the applicable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complete our Phase 3 clinical trials for CTx-1301 or any future clinical trials for any other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conduct of a Phase 3 clinical trial is a complicated process. Although members of our management team have conducted Phase 3 clinical trials in the past while employed at other companies, we as a company have not conducted a Phase 3 clinical trial before, and as a result may require more time and incur greater costs than we anticipate. Failure to include the correct treatment regimen, complete, or delays in, our Phase 3 clinical trials, could prevent us from or delay us in commencing future clinical trials for CTx-1301, obtaining regulatory approval of and commercializing our product candidates, which would adversely impact our financial performance. In addition, some of our competitors are currently conducting clinical trials for product candidates that treat the same indications as CTx-1301, and patients who are otherwise eligible for our clinical trials may instead enroll in clinical trials of our competitors’ product candidates.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enrollment is affected by other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study in question;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product candidate under study;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patients;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we may not be able to control, such as potential pandemics that may limit subjects, principal investigators or staff or clinical site availability.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we announced a change in the clinical development plan for CTx-1301 based on feedback from FDA, and accordingly stopped enrollment in two Phase 3 trials of CTx-1301 and are performing data consolidation and analytical activities in pursuit of NDA submission. We may need to restart these trials and/or start new trials in order to win regulatory approval of CTx-1301. We may find it difficult or impossible to restart or start such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regulatory approval for CTx-1301, CTx-1302, and/or CTx-2103, such approval may be limited, and we will be subject to stringent, ongoing government regulation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regulatory authorities approve CTx-1301, CTx-1302, and/or CTx-2103 for commercialization, the FDA could approve less than the full scope of indications or labeling claims that we seek or may otherwise require special warnings or other restrictions on their use or marketing. Regulatory authorities may limit the segments of the target population to which we or others may market CTx-1301, CTx-1302, and/or CTx-2103 or limit the target population for our other product candidates. The advantages of CTx-1301, CTx-1302, and/or CTx-2103 may not be agreed to by the FDA or other regulatory authorities or such authorities may otherwise object to the inclusion of related claims in product labeling or advertising and, as a result CTx-1301, CTx-1302, and/or CTx-2103 may not have our expected competitive advantages when compared to other similar products. In particular, the FDA may limit labeling claims based upon the duration of efficacy of our products. In addition, any new legislation addressing drug safety issues could result in delays in product development or commercialization, or increased costs to assure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obtain regulatory approval for any of our product candidates, activities such as the manufacturing processes, labeling, packaging, distribution, adverse event reporting, storage, advertising, promotion and record keeping for the products will be subject to extensive and ongoing regulatory requirements. These requirements include submissions of safety and other post-marketing information and reports, registration, as well as continued compliance with cGMPs. The FDA or comparable regulatory authorities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 production problems or issues with the facility where the product is manufactured or processed, such as product contamination or significant not-compliance with applicable cGMPs, a regulator may impose restrictions on that product, the manufacturing facility or us. Accordingly, we and our CMOs will be subject to continual review and inspections to assess compliance with cGMP and adherence to commitments made in any NDA submission to the FDA or any other type of domestic or foreign marketing application. If we or our third-party providers, including our CMOs fail to comply fully with applicable regulations, then we may be required to initiate a recall or withdrawal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later discovery of previously unknown problems with a product, including adverse events of unanticipated severity or frequency, or with our third-party manufacturers or manufacturing processes, or failure to comply with regulatory requirements, may result in the following, among other things:</w:t>
      </w:r>
    </w:p>
    <w:p>
      <w:pPr>
        <w:pStyle w:val="TextBody"/>
        <w:bidi w:val="0"/>
        <w:spacing w:before="0" w:after="0"/>
        <w:ind w:left="0" w:right="0" w:firstLine="72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manufacturing of the product, the approved manufacturers or the manufacturing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6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or marketing of a product;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product distribution or 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to conduct post-marketing studies or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the product from the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or untitled letters from the FDA or comparable notice of violations from foreign regulatory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or other applicable regulatory authority to approve pending applications or supplements to approved applications;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or disgorgement of profits or revenues;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or withdrawal of marketing approvals;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any of our ongoing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products;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decrees, injunctions or the imposition of civil or criminal penalties.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FDA’s or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otherwise not able to maintain regulatory compliance, we may lose any marketing approval that we may have obtained, which would adversely affect our business, prospects and ability to achieve or sustain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principal investigators, consultants, vendors, CROs, CMOs and any partners with which we may collaborate may engage in misconduct or other improper activities, including noncompliance with regulatory standards and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independent contractors, principal investigators, consultants, vendors, CROs, CMOs, and any partners with which we may collaborate may engage in fraudulent or other illegal activity. Misconduct by these persons could include intentional, reckless or negligent conduct or unauthorized activity that violates laws or regulations, including those laws requiring the reporting of true, complete and accurate information to the FDA or other regulatory authorities; manufacturing standards; federal, state and foreign healthcare fraud and abuse laws; data privacy laws and regulations; or laws that require the true, complete and accurate reporting of financial information or data.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or illegal misappropriation of drug product, which could result in regulatory sanctions or other actions or lawsuits stemming from a failure to be in compliance with such laws or regulations, and serious harm to our reputation. In addition, federal procurement laws impose substantial penalties for misconduct in connection with government contracts and require certain contractors to maintain a code of business ethics and conduct.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impact on our business, financial condition, results of operations and prospects including the imposition of civil, criminal and administrative penalties, damages, monetary fines, disgorgement, imprisonment, loss of eligibility to obtain marketing approvals from the FDA, possible exclusion from participation in Medicare, Medicaid and other federal healthcare programs, contractual damages, reputational harm, diminished profits and future earnings, additional reporting requirements if subject to a corporate integrity agreement or other agreement to resolve allegations of non-compliance with any of these laws, and curtailment or restructuring of our operations, any of which could adversely affect our ability to operate our business and our operating results.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modify our business practices, pay fines and significant expenses or experience other losses due to governmental investigations or other enforcement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litigation or governmental investigations in the United States and/or foreign jurisdictions that may arise from the conduct of our business. Like many companies in our industry, we may from time to time receive inquiries and subpoenas and other types of information requests from government authorities and we may be subject to claims and other actions related to our business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ultimate outcome of investigations and legal proceedings are difficult to predict, adverse resolutions or settlements of those matters could result in,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damage awards, fines, penalties or other payments, and administrative remedies, such as exclusion and/or debarment from government programs, or other rulings that preclude us from operating our business in a certain manner;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our business operations to avoid risks associated with such litigation or investigations;</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damage and decreased demand for our products;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 of significant time and resources that would otherwise be available for operating our business.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maintain insurance for certain risks, the amount of our insurance coverage may not be adequate to cover the total amount of all adverse resolutions and settlements of claims and liabilities. It also is not possible to obtain insurance to protect against all potential risks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or our current and prospective partners may be subject to product recalls in the future that could harm our brand and reputation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current and prospective partners may be subject to product recalls, withdrawals or seizures if any of our product candidates, if approved for marketing, fail to meet specifications or are believed to cause injury or illness or if we are alleged to have violated governmental regulations including those related to the manufacture, labeling, promotion, sale or distribution. Any recall, withdrawal or seizure in the future could materially and adversely affect consumer confidence in our brands and lead to decreased demand for our approved products. In addition, a recall, withdrawal or seizure of any of our approved products would require significant management attention, would likely result in substantial and unexpected expenditures and would harm our business,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obtain FDA approval of any proposed names for our product candidates that gain marketing approval, and any failure or delay associated with such naming approval may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name we intend to use for our product candidates will require approval from the FDA regardless of whether we have secured a formal trademark registration from the United States Patent and Trademark Office (“USPTO”). The FDA typically conducts a review of proposed product names, including an evaluation of whether proposed names may be confused with other product names. The FDA may object to any product name we submit if it believes the name inappropriately implies medical claims. If the FDA objects to any of our proposed product names, we may be required to adopt an alternative name for our product candidates, which could result in further evaluation of proposed names with the potential for additional delays and costs.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Disruptions at the FDA and other government agencies caused by funding shortages, staffing reductions and changes, and/or global health concerns could delay or block the development and approval of our products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may also slow the time necessary for new drugs to be reviewed and/or approved or cleared by necessary government agencies, which would adversely affect our business. Recent actions by the Trump Administration have renewed concerns that disruptions will adversely affect executive branch functions. For example, beginning on February 13, 2025, the Department of Health and Human Services began firing a large number of its probationary employees, a category that includes new federal employees and employees recently promoted or transferred to new positions or agencies. Reports indicate that 5,000 out of 80,000 employees have been terminated, including FDA employees. Although we cannot be certain at this early stage,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There are also reports that the Trump Administration intends to request Congress to reduce FDA funding in upcoming budgets. Such funding cuts may also delay the development and approval of our products. In addition, over the last several years, the United States government has shut down several times and certain regulatory agencies, such as the FDA, have had to furlough critical FDA employees and stop critical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funding shortages, staffing reductions or changes, a prolonged government shutdown or slowdown or other disruptions occur, the ability of the FDA and other regulatory authorities to timely review and process regulatory submissions could be significantly impacted, which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initiatives such as the Make America Healthy Again Commission could affect the development and approval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initiatives and regulatory policies can significantly affect our ability to develop, obtain approval for, and commercialize prescription drug candidates. The Trump Administration, through its recently established Make America Healthy Again Commission, has signaled its intent to reevaluate the regulatory landscape surrounding treatments for certain conditions, including ADHD and anxiety. As part of its mandate, the Make America Healthy Again Commission may propose new guidelines and policy recommendations that could impact the approval, labeling, marketing, and prescription of drugs intended to treat these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changes introduced or recommended by the Commission may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scrutiny of the efficacy and long-term safety of prescription medications, leading to more stringent clinical trial requirements, extended approval timelines, or the abandonment of the utilization of prescription medication to treat ADHD and anxiety;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prescription and distribution of medications targeting ADHD and anxiety, potentially reducing market access and limiting patient eligibility;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emphasis on non-pharmacological treatments, such as behavioral therapies and lifestyle interventions, which could diminish the perceived necessity of pharmaceutical options.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Make America Health Again Commission’s recommendations result in stricter regulatory policies, we could face substantial delays, increased costs, or the inability to obtain approval for our product candidates. If potential new restrictions limit or prevent the approval and eventual prescription of our product candidates CTx-1301 and CTx-1302, which are intended for the treatment of ADHD, or CTx-2301, which is intended for the treatment of anxiety, the inability to bring our product candidates to market could materially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depends, in part, on our ability to penetrate foreign markets, where we would be subject to additional regulatory burdens and other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profitability will depend, in part, on our ability to commercialize our product candidates in foreign markets for which we intend to rely on collaborations with third parties. If we commercialize our other product candidates in foreign markets, we would be subject to additional risks and uncertainties,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ability to obtain market access and appropriate reimbursement for our product candidates in foreign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directly control commercial activities because we are relying on third 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burden of complying with complex and changing foreign regulatory, tax, accounting and legal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medical practices and customs in foreign countries affecting acceptance in the marketplace;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licensing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accounts receivable collection times;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lead times for shipping;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language barriers for technical training;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of intellectual property rights in some foreign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 fluctuations;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of contractual provisions governed by foreign laws in the event of a contract dispute.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sales of our product candidates could also be adversely affected by the imposition of governmental controls, political and economic instability, trade restrictions and changes in tariffs, any of which may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pandemic, epidemic, or outbreak of an infectious disease, such as COVID-19, could cause a disruption to the development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crises such as pandemics or similar outbreaks could adversely impact our business. The COVID-19 pandemic led to the implementation of various responses, including government-imposed quarantines, travel restrictions and other public health safety measures. The extent to which a pandemic, epidemic or outbreak of an infectious disease impacts our operations or those of our third-party partners, including our development studies or clinical trial operations, will depend on future occurrences, which are highly uncertain and cannot be predicted with confidence, including the duration of any outbreak and the actions to contain or treat its impact, among others. Although the majority of our operations are conducted in the United States, the spread of an infectious disease globally could adversely impact our product candidate development or clinical trial operations in the United States and abroad. Any negative impact infectious diseases have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factors that may delay or otherwise adversely affect enrollment in the clinical trials of our product candidates, as well as our business generally, in the event of a pandemic, epidemic or outbreak of an infectious disease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receiving approval from local regulatory authorities to initiate our planned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difficulties in enrolling or retaining participants in our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difficulties in clinical site initiation, including difficulties in recruiting clinical site investigators and clinical site staff;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clinical sites receiving the supplies and materials needed to conduct our clinical trials, including interruption in global shipping that may affect the transport of clinical trial materials;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regulations as part of a response to a pandemic, epidemic or infectious disease, which may require us to change the ways in which our clinical trials are conducted, which may result in unexpected costs, or to discontinue the clinical trials altogether;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healthcare resources away from the conduct of clinical trials, including the diversion of hospitals serving as our clinical trial sites and hospital staff supporting the conduct of our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 of key clinical trial activities, such as clinical trial site monitoring, due to limitations on travel imposed or recommended by federal or state governments, employers and others, or interruption of clinical trial participant visits and study procedures, the occurrence of which could affect the integrity of clinical trial data;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participants enrolled in our clinical trials will acquire an infectious disease while the clinical trial is ongoing, which could impact the results of the clinical trial, including by increasing the number of observed adverse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in preclinical studies due to restricted or limited operations at our research and development facilities;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negative effect on the operations of our third-party manufacturers;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necessary interactions with local regulators, ethics committees, and other important agencies and contractors due to limitations in employee resources or forced furlough of employees;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employee resources at third-party CROs that would otherwise be focused on the conduct of our clinical trials, including because of sickness of employees or their families or the desire of employees to avoid contact with large groups of people;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or other regulatory authorities to accept data from clinical trials in affected geographies;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FDA pre-approval inspections, which are a prerequisite for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enacted and future policies and legislation may increase the difficulty and cost for us to obtain marketing approval of and commercialize our product candidates and may affect the reimbursement made for any product candidate for which we receive marketing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and regulatory actions affecting government prescription drug procurement and reimbursement programs occur relatively frequently. In the United. States, for example, the PPACA was enacted in 2010 to expand healthcare coverage and made significant changes to drug reimbursement. Other legislative changes that affect the pharmaceutical industry have been proposed and adopted in the United States since PPACA was enacted. For example, the Inflation Reduction Act of 2022 included, among other things, a provision that authorizes CMS to negotiate a “maximum fair price” for a limited number of high-cost, single-source drugs every year, and another provision that requires drug companies to pay rebates to Medicare if prices rise faster than inflation. Complying with any new legislation could be time-intensive and expensive, resulting in a material adverse effect on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in 2017, California’s governor signed a prescription drug price transparency state bill into law, requiring prescription drug manufacturers to provide advance notice and explanation for price increases of certain drugs that exceed a specified threshold. Both Congress and state legislatures are considering various bills that would reform drug purchasing and price negotiations, allow greater use of utilization management tools to limit Medicare Part D coverage, facilitate the import of lower-priced drugs from outside the United States and encourage the use of generic drugs. Such initiatives and legislation may cause added pricing pressures on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Medicaid program at the federal or state level could also have a material adverse effect on our business. Proposals that could impact coverage and reimbursement of our products, including giving states more flexibility to manage drugs covered under the Medicaid program and permitting the re-importation of prescription medications from Canada or other countries, could have a material adverse effect by limiting our products’ use and coverage. Furthermore, state Medicaid programs could request additional supplemental rebates on our products as a result of an increase in the federal base Medicaid rebate. To the extent that private insurers or managed care programs follow Medicaid coverage and payment developments, they could use the enactment of these increased rebates to exert pricing pressure on our products, and the adverse effects may be magnified by their adoption of lower payment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recent U.S. federal administrations have indicated that lowering prescription drug prices is a priority, but we do not yet know what steps the administration will take or whether such steps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proposed regulatory actions affecting manufacturers could have a material adverse effect on our business. It is difficult to predict the impact, if any, of any such proposed legislative and regulatory actions or resulting state actions on the use and reimbursement of our products in the United States, but our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pricing regulations, third-party reimbursement practices or healthcare reform initiatives could harm our business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increasing pressure on pharmaceutical companies to reduce healthcare costs. In the United States, these pressures come from a variety of sources, such as managed care groups and institutional and government purchasers. Increased purchasing power of entities that negotiate on behalf of federal healthcare programs and private sector beneficiaries could increase pricing pressures in the future. Such pressures may also increase the risk of litigation or investigation by the government regarding pricing calculations. The pharmaceutical industry will likely face greater regulation and political and legal actions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pricing limitations may hinder our ability to recoup our investment in one or more future product candidates, even if our future product candidates obtain regulatory approval. Adverse pricing limitations prior to approval will also adversely affect us by reducing our commercial potential. Our ability to commercialize any potential products successfully also will depend in part on the extent to which coverage and reimbursement for these products and related treatments becomes available from third-party payors, including government health administration authorities, private health insurers and other organizations. Third-party payors decide which medications they will pay for and establish reimbursement levels. Similar challenges to obtaining coverage and reimbursement, applicable to pharmaceutical products, will apply to companion diagnostics.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trend in the United States healthcare industry and elsewhere is cost containment. Third-party payors have attempted to control costs by limiting coverage and the amount of reimbursement for particular medications. Increasingly, third-party payors are requiring that companies provide them with predetermined discounts from list prices and are challenging the prices charged for medical products. We cannot be sure that coverage and reimbursement will be available for any product that we commercialize in the future and, if reimbursement is available, what the level of reimbursement will be. Reimbursement may impact the demand for, or the price of, any product for which we obtain marketing approval in the future. If reimbursement is not available or is available only to limited levels, we may not be able to successfully commercialize any product candidate that we successfully develop.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delays in obtaining reimbursement for approved products, and coverage may be more limited than the purposes for which the product is approved by the FDA or regulatory authorities in other countries.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Third-party payors often rely upon Medicare coverage policy and payment limitations in setting their own reimbursement policies, but also have their own methods and approval process apart from Medicare coverage and reimbursement determinations. Accordingly, one third-party payor’s determination to provide coverage for a product does not assure that other payors will also provide coverage for the product. Our inability to promptly obtain coverage and adequate reimbursement from third-party payors for approved products could have a material adverse effect on our operating results, our ability to raise capital needed to commercialize potential products and our overall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management resources, we focus on development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commercial success of our product candidates, if approved, depends partially upon attaining market acceptance by physicians, patients, third-party payors, and the medical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product revenue will depend significantly on our ability to successfully obtain final marketing approval for and commercialize our product candidates.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any of our product candidates CTx-1301, CTx-1302, and/or CTx-2103 obtain regulatory approval, they may not gain sufficient market acceptance among physicians, patients, third-party payors, and the healthcare community. Failure to achieve market acceptance would limit our ability to generate revenue and would affect our results of operations. The degree of market acceptance of CTx-1301, CTx-1302, and/or CTx-2103 will depend on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potential advantages of CTx-1301, CTx-1302, and/or CTx-2103 and compared to alternative treatments or competitive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third-party collaborators’ efforts to educate physicians and patients about the potential benefits and advantages of CTx-1301, CTx-1302, and/or CTx-2103;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healthcare community and patients to adopt new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market for such drug candidate, based on the size of the patient populations we are targeting, in the territories for which we gain regulatory approval and have commercial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of the drug candidate as demonstrated through broad commercial distribution;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offer our product candidates for sale at competitive prices;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cost-effectiveness of our product candidates relative to competing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manufacture all our products CTx-1301, CTx-1302 as well as CTx-2103 in sufficient quantities and yields;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of physicians, patients and the healthcare community, including third-party payors, regarding the safety, efficacy and potential benefits of CTx-1301, CTx-1302 and/or CTx-2103 compared to competing products or therapies;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any such marketing approval in relation to other product approvals;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concomitant use of other medications;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from patient advocacy groups;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convenience and ease of administration compared to alternative treatments;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adequate coverage and reimbursement from governmental health programs and third-party payors and pricing relative to other competing products and therapies.</w:t>
            </w:r>
          </w:p>
        </w:tc>
      </w:tr>
    </w:tbl>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drug candidates are approved but fail to achieve an adequate level of acceptance by key market participants, we will not be able to generate significant revenues, and we may not become or remain profitable, which may require us to seek additional financing.</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secure and maintain third-party coverage and reimbursement for our product candidates may be affected by political, economic and regulatory developments in the United States and other jurisdictions. Governments continue to impose cost containment measures, and third-party payors are increasingly challenging prices charged for medicines and examining their cost effectiveness, in addition to their safety and efficacy. These and other similar developments could significantly limit the degree of market acceptance of any product candidate of ours that receives marketing approval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significant competition from other pharmaceutical companies, and our operating results will suffer if we fail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industry is intensely competitive and subject to rapid and significant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have competitors both in the United States and internationally, including major multinational pharmaceutical companies. For example, amphetamine XR is currently marketed in the United States by Shire under the brand name Adderall XR, and methylphenidate is marketed in the United States by Janssen under the brand name Concerta, and by Novartis under the brand names Focalin XR and Ritalin LA. Further, makers of branded drugs could also enhance their own formulations in a manner that competes with our enhancements of these drugs. Many of our competitors have substantially greater financial, technical and other resources, such as larger research and development staff and more experienced marketing and manufacturing organizations. Mergers and acquisitions in the biotechnology and pharmaceutical industries may result in even more resources being concentrated in our competitors. As a result, these companies may obtain regulatory approval more rapidly than we are able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drug products or drug delivery technologies that are more effective or less costly than our PTR platform, or any product candidate that we are currently developing or that we may develop. In addition, our competitors may file citizens petitions with the FDA in an attempt to persuade the FDA that our products, or clinical trials that support their approval, contain deficiencies or that new regulatory requirements be placed on the product candidate or drug class of the product candidate. Such actions by our competitors could delay or even prevent the FDA from approving any NDA that we submit under Section 505(b)(2).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achieving regulatory approval to commercialize a product candidate ahead of our competitors, our future pharmaceutical products may face direct competition from generic and other follow-on drug products. Any of our product candidates that may achieve regulatory approval in the future may face competition from generic products earlier or more aggressively than anticipated, depending upon how well such approved products perform in the United States prescription drug market. Our ability to compete also may be affected in many cases by insurers or other third-party payors seeking to encourage the use of generic products. Generic products are expected to become available over the coming years. Even if our product candidates achieve marketing approval, they may be priced at a significant premium over competitive generic products, if any have been approved by then.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creating the 505(b)(2) NDA pathway, the Hatch-Waxman Amendments to the FDCA authorized the FDA to approve generic drugs that are the same as drugs previously approved for marketing under the NDA provisions of the statute pursuant to approved ANDAs. An ANDA relies on the preclinical and clinical testing conducted for a previously approved reference listed drug (“RLD”) and must demonstrate to the FDA that it is “bioequivalent” to the RLD. The FDA is prohibited by statute from approving an ANDA when certain marketing or data exclusivity protections apply to the RLD. If any such competitor or third party is able to demonstrate bioequivalence without infringing our patents, then this competitor or third party may then be able to introduce a competing generic product onto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ability to successfully compete will depend on, but is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of our product and product candidates, including as relative to marketed products and product candidates in development by third 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it takes for our product candidates to complete clinical development and receive marketing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maintain a good relationship with regulatory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commercialize and market any of our product candidates that receive regulatory approval;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product and product candidates that receive regulatory approval, including in comparison to branded or generic competitors;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coverage and adequate levels of reimbursement are available under private and governmental health insurance plans, including Medicare;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protect intellectual property rights related to our product and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manufacture on a cost-effective basis and sell commercial quantities of our product and product candidates that receive regulatory approval;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any of our products and product candidates that receive regulatory approval by physicians and other healthcare providers.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competitors market products that are more effective, safer or less expensive than our product, if any, or that reach the market sooner than our products, if any, we may enter the market too late in the cycle and may not achieve commercial success, or we may have to reduce our price, which would impact our ability to generate revenue and obtain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successful commercialization will also depend on whether we can adequately protect against and effectively respond to any claims by holders of patents and other intellectual property rights that our products infringe their rights, whether any unanticipated adverse effects or unfavorable publicity develops in respect of our products, as well as the emergence of new or existing products as competition, which may be proven to be more clinically effective and cost-effective. If we are unable to successfully complete these tasks, we may not be able to commercialize in a timely manner, or at all, in which case we may be unable to generate sufficient revenues to sustain and grow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interest of potential follow-on competitors or how quickly others may seek to come to market with competing products, whether approved as a direct ANDA competitor or as a 505(b)(2) NDA referencing one of our future drug products. If the FDA approves generic versions of our drug candidates in the future, should they be approved for commercial marketing, such competitive products may be able to immediately compete with us in each indication for which our product candidates may have received approval, which could negatively impact our future revenue, profitability and cash flows and substantially limit our ability to obtain a return on our investments in those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Social issues around the abuse of opioids and stimulants, including law enforcement concerns over diversion and regulatory efforts to combat abuse, could decrease the potential market for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our ability to commercialize our product candidates. Aggressive enforcement and unfavorable publicity regarding opioid drugs,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our product candidates and decrease the revenue we are able to generate from their sale, if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current and future efforts by Congress, state legislatures, the FDA and other regulatory bodies to combat abuse of opioids and stimulants may negatively impact the market for our product candidates. It is possible that lawmakers or the FDA will announce new legislation or regulatory initiatives at any time that may increase the regulatory burden or decrease the commercial opportunity for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Dependence on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produce our product or product candidates in the volumes that are required on a timely basis, or fail to comply with stringent regulations applicable to pharmaceutical drug manufacturers, we may face regulatory penalties and delays in the development and commercialization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depend on third-party suppliers for the supply of the APIs and excipients for our product candidates. Any shortages in the availability of raw materials could result in production or other delays with consequent adverse effects on us. In addition, because regulatory authorities must generally approve raw material sources for pharmaceutical products, changes in raw material suppliers may result in production delays or higher raw material costs. Any such delays could trigger penalties, which would have a negative impact on our business. If our raw material manufacturers were to encounter difficulties or otherwise fail to comply with their obligations to us, our ability to obtain FDA approval and market our product and product candidates would be jeopardized. In addition, any delay or interruption in the supply of clinical trial supplies could delay or prohibit the completion of our bioequivalence and/or clinical trials, increase the costs associated with conducting our bioequivalence and/or clinical trials and, depending upon the period of delay, require us to commence new trials at significant additional expense or to terminate a trial.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pharmaceutical products requires significant expertise and capital investment, including the development of advanced manufacturing techniques and process controls. Pharmaceutical companies may encounter difficulties in manufacturing scale up of production. These problems include manufacturing difficulties relating to production costs and yields, quality control, including stability of the product and quality assurance testing, shortages of qualified personnel, as well as compliance with federal, state and foreign regulations. We may also need to purchase additional equipment, some of which can take several months or more to procure, setup and validate, and increase our software and computing capacity to meet increased demand. Failure to manage this growth or transition could result in turnaround time delays, higher product costs, declining product quality, or slower responses to competitive challenges. A failure in any one of these areas could make it difficult for us to meet market expectations for our products and could damage our reputation and the prospects for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pharmaceutical products need to comply with cGMP requirements enforced by the FDA through the agency’s facility inspection programs. The cGMP requirements include, among other things, quality control, quality assurance, the maintenance of records and documentation, and the obligation to investigate and correct any deviations from regulatory requirements. A failure to comply with these requirements may result in fines and civil penalties, suspension of production, suspension or delay in product approval, product seizure or voluntary recall, or withdrawal of product approval. If the safety of any of our products or product candidates is compromised due to failure to adhere to applicable laws or for other reasons, we may not be able to obtain, or to maintain once obtained, regulatory approval for such product candidate or successfully commercialize such products or product candidates, and we may be held liable for any injuries sustained as a result. Any of these factors could cause a delay in clinical developments, regulatory submissions, approvals or commercialization of our products or product candidates, entail higher costs or result in our being unable to effectively commercialize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limited sources of supply for CTx-1301 and/or CTx-1302 as these are scheduled products, and any disruption in the chain of supply may impact production and sales of CTx-1301 and/or CTx-1302 and cause delays in developing and commercializing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NDAs we plan to submit for CTx-1301 and/or CTx-1302 will include our proposed manufacturing process for each product candidate. Any change to our manufacturing process, facilities or suppliers could require that we amend our NDA. Any change to our manufacturing process, facilities or suppliers could require that we amend our NDA. Also, because of our proprietary processes for manufacturing our product candidates, we cannot immediately transfer manufacturing activities for our drug products to an alternate supplier, and a change of manufacturing facilities would be time- consuming and could be a costly endeavor. For example, in October 2022, we announced a new CMO. The CTx-1301 fixed-dose study was delayed while the manufacturing process with the new CMO was established to manufacture the final dosage strengths needed for the fixed-dose study. Potential future changes in manufacturing facilities would also require us to supplement our NDA filings to include the change of manufacturing site. Identifying an appropriately qualified source of alternative supply for any one or more of the component substances for our product candidates or product could be time consuming, and we may not be able to do so without incurring material delays in the development and commercialization of our product candidates. Any alternative vendor would also need to be qualified through an NDA supplement and may need to undergo an FDA inspection before the supplement can be approved, which could result in further delay, including delays related to additional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could cause the delay of clinical trials, regulatory submissions, required approvals or commercialization of our product candidates, cause us to incur higher costs and prevent us from commercializing them successfully. Furthermore, if our suppliers fail to deliver the required commercial quantities of components and APIs on a timely basis and at commercially reasonable prices, including if our suppliers did not receive adequate DEA quotas for the supply of certain scheduled components, and we are unable to secure one or more replacement suppliers capable of production at a substantially equivalent cost, commercialization of our product candidates, and clinical trials of future potential product candidates, may be delayed or we could lose potential revenue and our business, financial condition, results of operation and reputation could be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and expect to continue to rely completely on third parties to formulate and manufacture our preclinical, clinical trial and commercial drug supplies. The development and commercialization of any of our drug candidates could be stopped, delayed or made less profitable if those third parties fail to provide us with sufficient quantities of such drug supplies or fail to do so at acceptable quality levels, including in accordance with applicable regulatory requirements or contractual obligations, and our operations could be harmed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nor do we plan to acquire, the infrastructure or capability internally, such as our own manufacturing facilities, to manufacture our preclinical and clinical drug supplies for our clinical trials and preclinical studies or commercial quantities of any drug candidates that may obtain regulatory approval. We procure bulk drug substance from a sole source, third-party supplier and have contracted with a CMO to produce our drug candidates at its facilities, and we anticipate that we will continue to do so for the foreseeable future. Therefore, we lack the resources and expertise to formulate or manufacture our own drug candidates, and our reliance on third parties increases the risk that we will not have sufficient quantities of bulk drug substances or our product candidates, in such quantities at an acceptable cost, which could delay, prevent or impair our ability to timely conduct our clinical trials or our other development or commercialization efforts. For example, we experienced delays in the manufacturing and delivery of clinical supply for the CTx-1301 fixed-dose study due to operational resource issues at our former CMO. The manufacture of the clinical supply was further delayed while our new CMO established its manufacturing process for CTx-1301.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agreement with a CMO and intend for that CMO to manufacture all clinical, registration and commercial batches of our drug candidate, CTx-1301, and we plan to enter into agreements with one or more manufacturers to manufacture, supply, store, and distribute drug supplies for our future clinical trials and/or commercial sales. We intend to establish or continue those relationships for the supply of our drug candidates; however, there can be no assurance that we will be able to retain those relationships on commercially reasonable terms, if at all. If we are unable to maintain those relationships, we could experience delays in our development efforts as we locate and qualify new CMOs. If any of our current drug candidates or any drug candidates we may develop or acquire in the future receives regulatory approval, we will rely on one or more CMOs to manufacture the commercial supply of such drugs.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maintain our existing third-party relationships or establish any such agreements with other third-party manufacturers, reliance on third-party manufacturers entails additional risks,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the third party for FDA and DEA regulatory compliance and quality assurance;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misappropriation of our proprietary information, including our trade secrets and know-how;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and costs associated with changing suppliers, including additional regulatory filings;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termination or nonrenewal of the agreement by the third party at a time that is costly or inconvenient for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delay or inability to procure or expand sufficient manufacturing capacity;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negotiate manufacturing agreements with third parties under commercially reasonable terms;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manufacturing agreements with third parties in a manner or at a time that is costly or damaging to us;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these risks could delay our clinical trials, the approval, if any, of our drug candidates or the commercialization of our drug candidates, could result in higher costs or could deprive us of potential product revenues. Some of these events could be the basis for FDA action, including injunction, recall, seizure or total or partial suspension of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ultimately responsible for the manufacture of our product candidates, we do not manufacture our products ourselves and are dependent on our CMOs for compliance with cGMPs. Our agreements with our CMOs require them to perform according to certain cGMP requirements such as those relating to quality control, quality assurance and qualified personnel, but we cannot control the conduct of our CMOs to implement and maintain these standards. If our CMOs cannot successfully manufacture material that conforms to our specifications and the strict regulatory requirements of the FDA or other regulatory authorities, we would be prevented from obtaining regulatory approval for our drug candidates unless and until we engage a substitute CMO that can comply with such requirements, which we may not be able to do. Any such failure by any of our CMOs would significantly impact our ability to develop, obtain marketing approval for or market our product candidates, if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our product candidates are approved, our suppliers will be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our third-party CMO to comply with DEA regulations related to controlled substances may cause their license to be revoked and production of our products and product candidates may be interrupted or stopped. This would impact our ability to develop, obtain marketing approval for or market our product candidates, if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and any drugs that we may develop may compete with other product candidates and drugs for access to manufacturing facilities, and we may be unable to obtain access to these facilities on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limited number of manufacturers that operate under cGMP regulations and possess a DEA license to procure, hold and work with controlled substances. Any performance failure on the part of our existing or future manufacturers could delay clinical development or marketing approval. We do not currently have arrangements in place for redundant supply or a second contract manufacturer. If our current CMO cannot perform as agreed, we may be required to replace such manufacturer and we may incur added costs and delays in identifying and qualifying any such replacement. For example, we experienced delays in the manufacturing and delivery of clinical supply for the CTx-1301 fixed-dose study due to operational resource issues at our former CMO prior to October 2022. The manufacture of the clinical supply was further delayed while our new CMO established its manufacturing process for CTx-1301.</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rely on third parties to conduct our clinical trials and our regulatory submissions for our product candidates, and those third parties may not perform satisfactorily, including failing to meet deadlines for the completion of such trials and/or regulatory submissions.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engage CROs for our planned clinical trials and our regulatory submissions of our product candidates. We expect to rely on CROs, as well as other third parties, such as clinical data management organizations, regulatory strategists, medical institutions and clinical investigators, to conduct our planned clinical trials, prepare the appropriate regulatory submissions for our product candidates, and assist with ensuring compliance with applicable regulatory requirements. Agreements with such third parties might terminate for a variety of reasons, including a failure to perform by the third parties. If we need to enter into alternative arrangements, our drug development activities would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these third parties for clinical development activities may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principal investigators are also subject to scrutiny under other health care regulatory laws, such as the federal Anti-Kickback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to rely on other third parties to store and distribute product supplies for our clinical trials. Any performance failure or noncompliance with applicable regulatory requirements, including those of the FDA or DEA, on the part of our distributors could delay clinical development or marketing approval of our product candidates or commercialization of our products, producing additional losses and depriving us of potential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collaborations with third parties for the development and commercialization of our product candidates. If those collaborations are not successful, we may not be able to capitalize on the market potential of these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seeking a strategic pharmaceutical partnership under which we would license CTx-1301 in the United States, internationally, or both, to ensure successful commercial launches if we receive FDA approval for CTx-1301. Should we be unable to identify an appropriate pharmaceutical partnership, if we receive FDA approval for CTx-1301, pursuant to the Commercialization Agreement, Indegene would provide commercialization services for CTx-1301, including marketing, sales, market access and distribution, on a fee for service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partners and collaborators include co-commercialization partners, as well as regional, national and international large and mid-size pharmaceutical companies. We may have limited control over the amount and timing of resources that our current and any future collaborators dedicate to the development or commercialization of our product candidates. Our ability to generate revenue from these arrangements will depend on our collaborators’ abilities to successfully perform the functions assigned to them in these arrangements. Pursuant to the Commercialization Agreement, we and Indegene will enter into statements of work that will set forth, among other things, the services to be performed by Indegene, the deliverables for such services and the fees to be paid by us. We may be unable to negotiate the terms of the statements of work, including the services to be performed by Indegene or the fees payable by us, on terms acceptable to us, or at all. If we are unable to do so, we would have to seek other collaborations for the commercialization of CTx-1301, which may delay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collaborations pose, and any future collaborations involving our product candidates would pose the following risks,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to relinquish valuable rights to our intellectual property, future revenue streams, research programs or product candidates, or grant licenses on terms that may not be favorable to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have significant discretion in determining the efforts and resources that they will apply to these collaborations;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of our product candidates that achieve regulatory approval may not commit sufficient resources to the marketing and distribution of such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the intellectual property rights of third parties, which may expose us to litigation and potential liability;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termination fees if we terminate a collaboration;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may be terminated for the convenience of the collaborator and, if terminated, we could be required to raise additional capital to pursue further development or commercialization of the applicable product candidates.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Agreement and any future 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maintain or establish partnerships or collaborations, we may have to alter our development and commercialization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our product candidates and clinical programs and the potential commercialization will require substantial additional capital. For some of our product candidates, we may need to be able to maintain and further collaborate with co-commercial partners or pharmaceutical companies for the development and/or commercialization of those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seeking a strategic pharmaceutical partnership under which we would license CTx-1301 in the United States, internationally, or both, to ensure successful commercial launches if we receive FDA approval for CTx-1301. Should we be unable to identify an appropriate pharmaceutical partnership, if we receive FDA approval for CTx-1301, pursuant to the Commercialization Agreement, Indegene would provide commercialization services for CTx-1301, including marketing, sales, market access and distribution, on a fee for service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in seeking appropriate partners and collaborators. Whether we reach additional definitive agreements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not be able to negotiate collaborations on a timely basis, on acceptable terms, or at all. If we are unable to do so, we may have to curtail the development of product candidates, reduce or delay one or more of our development programs, delay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Commercialization Agreement, we and Indegene would enter into statements of work that would set forth, among other things, the services to be performed by Indegene, the deliverables for such services and the fees to be paid by us. We may be unable to negotiate the terms of the statements of work, including the services to be performed by Indegene or the fees payable by us, on terms acceptable to us, or at all. If we are unable to do so, we may have to seek other collaborations for the commercialization of CTx-1301, which may delay commercialization.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 parties to perform many essential services for any products that we commercialize, including distribution, customer service, accounts receivable management, cash collection and adverse event reporting. If these third parties fail to perform as expected or to comply with legal and regulatory requirements, our ability to commercialize CTx-1301, CTx-1302, and/or CTx-2103 will be significantly impacted and we may be subject to regulatory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seeking a strategic pharmaceutical partnership under which we would license CTx-1301 in the United States, internationally, or both, to ensure successful commercial launches if we receive FDA approval for CTx-1301. Should we be unable to identify an appropriate pharmaceutical partnership, if we receive FDA approval for CTx-1301, pursuant to the Commercialization Agreement, Indegene would provide commercialization services for CTx-1301, including marketing, sales, market access and distribution, on a fee for service basis. We would substantially rely on Indegene and will substantially rely on any future third-party providers to perform services for us. We may retain additional third-party service providers to perform a variety of functions related to the sale and distribution of any or all of our products, including CTx-1301, CTx-1302, and CTx-2103, if approved, key aspects of which will be out of our direct control. These service providers may provide key services related to distribution, customer service, accounts receivable management and cash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If these third-party service providers fail to comply with applicable laws and regulations, fail to meet expected deadlines, or otherwise do not carry out their contractual duties to us, our ability to deliver product to meet commercial demand may be significantly impaired. 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if they fail to comply with various requirements, we could be subject to regulatory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achieve and maintain adequate levels of coverage and reimbursement for our product candidates, if approved, their commercial success may be severely hindered.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sales of our product and any product candidates that receive regulatory approval depend on the availability of adequate coverage and reimbursement from third-party payors. Patients who are prescribed medications for the treatment of their conditions generally rely on third-party payors to reimburse all or part of the costs associated with their prescription drugs. Adequate coverage and reimbursement from governmental healthcare programs, such as Medicare and Medicaid, and commercial payors is critical to new product acceptance. Coverage decisions may depend upon clinical and economic standards that disfavor new drug products when more established or lower cost therapeutic alternatives are already available or subsequently become available. Assuming we obtain coverage for a given product, the resulting reimbursement payment rates might not be adequate or may require co-payments that patients find unacceptably high. Patients are unlikely to use our products unless coverage is provided and reimbursement is adequate to cover a significant portion of the cost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market for CTx-1301, CTx-1302, and CTx-2103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payors, whether foreign or domestic, or governmental or commercial, are developing increasingly sophisticated methods of controlling healthcare costs. In addition, in the United States, no uniform policy requirement for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believe that future coverage and reimbursement will likely be subject to increased restrictions both in the United States and in international markets. Third party coverage and reimbursement for our product candidates for which we may receive regulatory approval may not be available or adequate in either the United States or international markets, which could have a material adverse effect on our business, results of operations, financial condition and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Third-party payors may not adequately cover or reimburse consumers for the purchase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revenues and ability to generate positive cash flow from operations may be affected by the continuing efforts of governments and third-party payors to contain or reduce the costs of healthcare through various means.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our products, and therefore may limit our ability to generate revenues from sales and achieve profitability. Further, to the extent that such reforms may affect our business and collaborators, our ability to commercialize our products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and elsewhere, sales of prescription pharmaceutical products still depend in large part on the availability of reimbursement to the consumer from third-party payors, such as governmental and private insurance plans. Third-party payors are increasingly challenging the prices charged for medical products. The market for CTx-1301, CTx-1302, and/or CTx-2103 will depend significantly on whether third-party payors provide coverage and reimbursement. Industry competition to be eligible for reimbursement often leads to downward pricing pressures on pharmaceutical products. Also, third-party payors may refuse to reimburse for a particular branded drug or product when a less costly generic equivalent or other alternative is available. In the United States, no uniform policy of coverage and reimbursement for drug products exists among third-party payors. Because each third-party payor individually approves coverage and reimbursement levels, obtaining coverage and adequate reimbursement is a time-consuming and costly process. We would be required to provide scientific and clinical support for the use of our products to each third-party payor separately with no assurance that approval would be obtained. This process could delay the market acceptance of our products and could have a negative effect on our future revenues and operating results. Even if we succeed in bringing CTx-1301, CTx-1302 and/or CTx-2103 to market, we cannot be certain that it would be considered cost effective or that coverage and adequate reimbursement to patients would be available. Patients may be unlikely to use CTx-1301, CTx-1302 and/or CTx-2103 unless coverage is provided, and reimbursement is adequate to cover a significant portion of its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many foreign countries, particularly countries within the European Union, the pricing of prescription drugs is subject to government control. In some jurisdictions outside the United States,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Moreover, pricing negotiations with governmental authorities in these countries can take considerable time after the receipt of marketing approval for a product. To obtain reimbursement or pricing approval in countries outside of the United States, we may be required to conduct additional clinical trials that specifically compares the cost-effectiveness of our products CTx-1301, CTx-1302, and/or CTx-2103 to other available therapies. We may face competition for CTx-1301 and/or CTx-1302 from lower-priced products in foreign countries that have placed price controls on pharmaceutical products. In addition, there may be foreign products imported that compete with CTx-1301, CTx-1302, and/or CTx-2103, which could negatively impact our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CTx-1301, CTx-1302, and CTx-2103 will need to be priced competitively with current therapies to be eligible for full reimbursement in the United States and international markets. If we are unable to obtain coverage of, and adequate payment levels for, CTx-1301, CTx-1302, and/or CTx-2103 from third-party payors, physicians may limit how much or under what circumstances they will prescribe it and patients may decline to purchase it. This in turn could affect our ability to successfully commercialize any or all of our products and harm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support demand for CTx-1301, CTx-1302, and/ or CTx-2103, and any future product candidates, including ensuring that we have adequate capacity to meet increased demand, or we are unable to successfully manage the evolution of our drug delivery technology platform,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volume grows, we will need to extend our platform to support product production at a larger scale within expected turnaround times. We may need additional certified laboratory scientists and technical and manufacturing personnel to process higher volumes of CTx-1301, CTx-1302, and/ or CTx-2103, if approved. We may also need to purchase additional equipment, some of which can take several months or more to procure, setup and validate. There is no assurance that any of these increases in scale, expansion of personnel, equipment, or process enhancements will be successfully implemented, or that we will have adequate space in our facilities to accommodate such required expansion.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relationships with customers and third-party payors are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products and any product candidates that obtain regulatory approval and are marketed in the United States, if any, our arrangements with third-party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health information privacy and security regulation by United States. federal and state governments and foreign jurisdictions in which we conduct our business. The laws that may affect our ability to operate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a person or entity does not need to have actual knowledge of the statute or specific intent to violate it in order to have committed a violation;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civil and criminal false claims laws and civil monetary penalty laws, including the federal False Claims Act, which impose criminal and civil penalties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actions may be brought by the government or a whistleblower and may include an assertion that a claim for payment by federal health care programs for items and services which results from a violation of the federal Anti-Kickback Statue constitutes a false or fraudulent claim for purposes of the False Claims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that imposes criminal and civil liability for executing a scheme to defraud any health care benefit program, or knowingly and willfully falsifying, concealing or covering up a material fact or making any materially false statement in connection with the delivery of or payment for health care benefits, items or services; similar to the United States federal Anti-Kickback Statute, a person or entity does not need to have actual knowledge of the statute or specific intent to violate it in order to have committed a violation; HIPAA, as amended by HITECH and their respective implementing regulations, which imposes certain obligations, including mandatory contractual terms, on covered healthcare providers, health plans and healthcare clearinghouses, as well as their business associates, with respect to safeguarding the privacy, security and transmission of individually identifiable health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 Payments Sunshine Act, enacted as part of the PPACA, which requires certain manufacturers of drugs, devices, biologics and medical supplies that are reimbursable under Medicare, Medicaid or the Children’s Health Insurance Program to report annually to CMS information related to payments and other transfers of value to physicians and teaching hospitals, and ownership and investment interests held by physicians and their immediate family members; and</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state and foreign laws governing the privacy and security of health information in certain circumstances, many of which differ from each other in significant ways and often are not preempted by HIPAA, thus complicating compliance efforts.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lawsuits could divert our resources, result in substantial liabilities and reduce the commercial potential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an inherent risk of product liability claims as a result of the clinical testing of our product candidates despite obtaining appropriate informed consents from our clinical trial participants. We will face an even greater risk if we obtain marketing approval for and commercially sell CTx-1301, CTx-1302 and/or CTx-2103, or any other product candidate. For example, we may be sued if any product that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pStyle w:val="TextBody"/>
        <w:bidi w:val="0"/>
        <w:spacing w:before="0" w:after="0"/>
        <w:ind w:left="0" w:right="0" w:firstLine="72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resources for our management to pursue our business strategy;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 or products that we may develop;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resulting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4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products that we may develop.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manufactured and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liability insurance coverage may not be adequate to cover any and all liabilities that we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$10.0 million in product liability insurance coverage in the aggregate, which may not be adequate to cover any and all liabilities that we may incur. Insurance coverage is increasingly expensive. We may not be able to maintain insurance coverage at a reasonable cost or in an amount adequate to satisfy any liability that may arise.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 In addition, we may not be able to obtain or maintain sufficient insurance coverage at an acceptable cost or otherwise to protect against potential product liability claims, which could prevent or inhibit the commercial production and sale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Our operations may involve the use of hazardous and flammable materials, including chemicals and biological materials. Our operations produce hazardous waste products. We expect to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Managing Our Growth, Our Employees, and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further increase the size and complexity of our organization in the future, and we may experience difficulties in executing our growth strategy and managing any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personnel, systems, and facilities currently in place are not adequate to support our business plan and near-term future growth. We will need to further expand our manufacturing team, clinical team, managerial, operational, financial, and other resources to support our planned research, development and commercialization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manage our operations, growth and various projects effectively requires that we: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improve our operational, financial, management and regulatory compliance controls and reporting systems and procedures;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sufficient numbers of talented employees;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 marketing, sales and distribution capability;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commercialization activities for our product candidates effectively and in a cost-effective manner;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relationships with development and commercialization partners;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clinical trials effectively;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third-party supply and manufacturing operations effectively and in a cost-effective manner, while increasing production capabilities for our current product candidates to commercial levels;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development efforts effectively while carrying out our contractual obligations to partners and other third parties.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historically, we have utilized and continue to utilize the services of part-time outside consultants to perform a number of tasks for us, including tasks related to product development and clinical testing. Our growth strategy may also entail expanding our use of consultants to implement these and other tasks going forward. We rely on consultants for certain functions of our business and will need to effectively manage these consultants to ensure that they successfully carry out their contractual obligations and meet expected deadlines. There can be no assurance that we will be able to manage our existing consultants or find other competent outside consultants, as needed, on economically reasonable terms, or at all. If we are not able to effectively manage our growth and expand our organization by hiring new employees and expanding our use of consultants, we might be unable to implement successfully the tasks necessary to execute effectively on our planned research, development and commercialization activities and, accordingly, might not achieve our research, development and commercialization goals.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sales and marketing capabilities or enter into agreements with third parties to market and/or sell our product candidates, we may be unable to generate any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 organization for the sale, marketing or distribution of CTx-1301, CTx-1302, or CTx-2103. As a result, we must build this organization, or enter into a marketing collaboration with a third party, in order to commercialize CTx-1301, CTx-1302, and/ or CTx-2103. The establishment and development of our own sales force in the United States to market CTx-1301, CTx-1302, and/or CTx-2103 will be expensive and time consuming and could delay any product launch. We cannot be certain that we would be able to successfully develop this capacity, and even if we do, the cost of establishing and maintaining such an organization may exceed the benefit of doing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risks involved in building and managing a sales organization, including our ability to hire, retain and incentivize qualified individuals, generate sufficient sales leads, provide adequate training to sales and marketing personnel, effectively manage a geographically dispersed sales and marketing team and successfully negotiate with managed care and third-party payors. Any failure or delay in the development of our internal sales, marketing and distribution capabilities would adversely impact the commercialization of these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seeking a strategic pharmaceutical partnership under which we would license CTx-1301 in the United States, internationally, or both, to ensure successful commercial launches if we receive FDA approval for CTx-1301. Should we be unable to identify an appropriate pharmaceutical partnership, if we receive FDA approval for CTx-1301, pursuant to the Commercialization Agreement, Indegene would provide commercialization services for CTx-1301, including marketing, sales, market access and distribution, on a fee for service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may enter into additional strategic partnerships with third parties to commercialize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Commercialization Agreement, we and Indegene would enter into statements of work that would set forth, among other things, the services to be performed by Indegene, the deliverables for such services and the fees to be paid by us. We may be unable to negotiate the terms of the statements of work, including the services to be performed by Indegene or the fees payable by us, on terms acceptable to us, or at all. If we are unable to do so, we would have to seek other collaborations for the commercialization of CTx-1301, which may delay commercialization. We may also have difficulty establishing relationships with third parties on terms that are acceptable to us, or in all of the regions where we wish to commercialize our products, or at all. 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and/or ingrained distribution channels. Without an internal team or the support of a third party to perform marketing and sales functions, we may be unable to compete successfully against these more established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management and other key personnel, we may be unable to continue to successfully develop or commercialize our product candidates or otherwise implement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In December 2023, two executive officers, including our Chief Financial Officer, and two clinical operations employees resigned. On January 25, 2024, we appointed Ms. Callahan as our Senior Vice President and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four independent members of our Board resigned resulting in our Board consisting of two non-independent directors, one of whom is our Chief Executive Officer. On December 26, 2023, we received a letter from the Staff indicating that, based upon the resignation of three members of our Board on December 12, 2023 and December 13, 2023, we no longer comply with the independent director, audit committee, compensation committee and independent director oversight of director nominations requirements as set forth in Nasdaq Listing Rule 5605 (the “Independent Director Rule”). On February 12, 2024, our Board appointed three independent directors to the Board and subsequently regained compliance with the Independent Director Rule. There can be no assurance that we will be able to retain key management personnel and members of our Board or attract replacements in the event of their departure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“key man” insurance policies on the lives of specific individuals but not on the lives of all critical employees. In order to retain valuable employees at our company, in addition to salary and cash incentives, we may provide stock options that vest over time. The value to employees of stock options that vest over time will be significantly affected by movements in our stock price that are beyond our control and may at any time be insufficient to counteract offers from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might not be able to attract or retain qualified management and other key personnel in the future due to the intense competition for qualified personnel among biotechnology, pharmaceutical and other businesses.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research and development is focused on discovering and developing product candidates but these product candidates may not make it to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development research and clinical development efforts to date have resulted in product candidates, CTx-1301, CTx-1302, for the treatment of ADHD, and CTx-2103, for the treatment of anxiety. As part of our growth strategy, we intend to identify, develop and market additional product candidates. We are exploring various therapeutic opportunities for our pipeline and proprietary technologies. We may spend several years completing our development of any particular current or future internal product candidates, and failure can occur at any stage. We may not be able to develop drugs that are bioequivalent, safe and effective and/or that have commercially significant improvements over already approved drugs. The product candidates to which we allocate our resources may not end up being successful. The success of this strategy depends partly upon our ability to identify, select, discover and acquire promising product candidates and products.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acquisitions may entail numerous operational and financial risks, including:</w:t>
      </w:r>
    </w:p>
    <w:p>
      <w:pPr>
        <w:pStyle w:val="TextBody"/>
        <w:bidi w:val="0"/>
        <w:spacing w:before="0" w:after="0"/>
        <w:ind w:left="0" w:right="0" w:firstLine="72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combining the operations and personnel of any acquired businesses with our operations and personnel.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product candidate that we acquire may require additional development efforts prior to commercial sale, including extensive clinical testing and approval by the FDA and other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successfully develop and commercialize product candidates based upon our Precision Timed Release platform technology, we will not be able to obtain product revenue in future periods, which likely would result in significant harm to our financial position and adversely affect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may fluctuate significantly, which makes our future operating results difficult to predict and could cause our operating results to fall below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to date have been primarily limited to formulating and developing our product candidates and undertaking clinical trials of our product candidates. We have not yet obtained regulatory approvals for any of our product candidates. Consequently, any predictions about our future success or viability may not be as accurate as they could be if we had a longer operating history or approved products on the market. Furthermore, our operating results may fluctuate due to a variety of other factors, many of which are outside of our control and may be difficult to predict, including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commencement, enrollment and the timing of clinical testing for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or failure of clinical trials for our product candidates or competing product candidates, or any other change in the competitive landscape of our industry, including consolidation among our competitors or partners;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delays in regulatory review and approval of product candidates in clinical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 of, and level of investment in, research and development activities relating to our product candidates, which may change from time to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our product candidates, which may vary depending on FDA guidelines and requirements, and the quantity of production;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to develop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terms of the Note Purchase Agreement and Note issued in December 2024;</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we will or may incur to acquire or develop additional product candidates and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our product candidates, should they receive approval, which may vary significantly;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side effects of our product candidates that could delay or prevent commercialization or cause an approved drug to be taken off the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patients or healthcare providers to obtain coverage of or sufficient reimbursement for our product candidates, if approved;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dependency on third-party manufacturers to supply or manufacture our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or outsource an effective sales, marketing and distribution infrastructure in a timely manner;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 candidates, if approved, and our ability to forecast demand for those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receive approval and commercialize our product candidates outside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licensing or other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third parties’ abilities to protect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and outcomes of potential litigation or other disputes;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support future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personnel to manage our business effectively;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liabilities associated with hazardous materials;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adequate insurance policies;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liquidity needs could be negatively affected by market fluctuations and economic downturn.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and liquidity could be negatively affected by economic conditions generally, both in the United States and elsewhere around the world. The market for discretionary medical products and procedures may be particularly vulnerable to unfavorable economic conditions. Some patients may consider certain of our product candidates to be discretionary, and if full reimbursement for such products is not available, demand for these products may be tied to the discretionary spending levels of our targeted patient populations. Domestic and international equity and debt markets have experienced and may continue to experience heightened volatility and turmoil based on domestic and international economic conditions and concerns. In the event these economic conditions and concerns continue or worsen, and the markets continue to remain volatile, our operating results and liquidity could be adversely affected by those factors in many ways, including weakening demand for certain of our products and making it more difficult for us to raise funds if necessary, and our stock price may decline. Additionally, although we plan to market our products primarily in the United States, our partners have extensive global operations, indirectly exposing us to risk.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would suffer in the event of failures in our internal computer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computer systems and those of our current and any future partners, contractors and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manufacturing activities, development programs and our business operations. For example, the loss of manufacturing records or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commercialization and development of our products and product candidates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increasingly dependent on information technology, and our systems and infrastructure face certain risks, including cybersecurity and data leakage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to our information technology systems or breaches of information security could adversely affect our business. In the ordinary course of business, we collect, store and transmit large amounts of confidential information, and it is critical that we do so in a secure manner to maintain the confidentiality and integrity of such confidential information. The size and complexity of our information technology systems, and those of our third-party vendors with whom we contract, make such systems potentially vulnerable to service interruptions and security breaches from inadvertent or intentional actions by our employees, partners or vendors, from attacks by malicious third parties, or from intentional or accidental physical damage to our systems infrastructure maintained by us or by third parties. Maintaining the secrecy of this confidential, proprietary, 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use or disclosure of confidential information that could adversely affect our business operations or result in the loss, dissemination, or misuse of critical or sensitive information. The rapid evolution and increased adoption of artificial intelligence (“AI”) technologies may also heighten our cybersecurity risks by making cyber-attacks more difficult to detect, contain, and mitigate. Attackers are also increasingly sophisticated and using techniques and tools, including AI, that can circumvent security controls, evade detection and remove forensic evidence. As a result, we may be unable to detect, investigate, remediate or recover from future attacks or incidents, or to avoid a material adverse impact to our systems, information, or business.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reason, could enable others to produce competing products, use our proprietary technology or information, or adversely affect our business or financial condition. Further, any such interruption, security breach, loss or disclosure of confidential information, could result in financial, legal, business, and reputational harm to us and could have a material adverse effect on our business, financial position, results of operations or cash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intellectual property related to our products or product candidates is not adequate, we may not be able to compete effectively in our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patents, trade secret protection and confidentiality agreements to protect the intellectual property related to our products, product candidates and technology. Any disclosure to or misappropriation by third parties of our confidential or proprietary information could enable competitors to duplicate or surpass our technological achievements, thus eroding our competitive position in our market.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legal standards relating to patentability, validity, enforceability and scope of claim, patents covering pharmaceutical and biotechnology inventions involve complex legal, scientific and factual questions. Formulation of drug products such as ours with complex release profiles is an area of intense research, publishing and patenting, which limits the scope of any new patent applications. As a result, our ability to obtain, maintain and enforce patents is uncertain and any rights under any existing patents, or any patents we might obtain or license, may not provide us with sufficient protection for our products and product candidates to afford a commercial advantage against competitive products or processes. The patent applications that we own may fail to result in issued patents in the United States or in foreign countries. Even if patents do successfully issue, third parties may challenge their patentability, validity (e.g., by discovering previously unidentified prior art, or a patent-barring event such as a prior public disclosure, use, sale or offer for sale of the invention), enforceability or scope, which may result in such patents being narrowed, invalidated or held unenforceable. For example, United States patents may be challenged by third parties via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 grant review, derivation or interference proceedings at the USPTO, and European patents may be challenged via an opposition proceeding at the European Patent Office. Furthermore, if we were to assert our patent rights against a competitor, the competitor could challenge the validity and/or enforceability of the asserted patent rights. Although a granted United States patent is entitled to a statutory presumption of validity, its issuance is not conclusive as to its validity or its enforceability, and it may not provide us with adequate proprietary protection or competitive advantages against competitors with similar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breadth or strength of protection provided by the patents and patent applications we hold or pursue with respect to our products and product candidates is successfully challenged, we may face unexpected competition that could have a material adverse impact on our business. Even if they are unchallenged, our patents and patent applications may not adequately protect our intellectual property or prevent others from designing around our claims. For example, a third party may develop a competitive product that provides therapeutic benefits similar to our products or product candidates but is sufficiently different to fall outside the scope of our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we encounter delays in our clinical trials or entry onto the market in a particular jurisdiction, the period of time during which we could market a particular product under patent protection would be reduced.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where laws provide protection, costly and time-consuming litigation could be necessary to enforce and determine the scope of our proprietary rights, and the outcome of such litigation would be uncertain. If we or one of our future collaborators were to initiate legal proceedings against a third party to enforce a patent covering a product or our technology,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lack of written description, non-enablement or a patent-barring event, such as a public disclosure, use or sale of the invention more than a year before the filing date of the application. Grounds for an unenforceability assertion could, for example, be an allegation that someone connected with prosecution of the patent withheld material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or that a third party challenging one of our patents would not assert that a patent-barring event had occurred. If a plaintiff or a defendant were to prevail on a legal assertion of invalidity and/or unenforceability against one or more of our patents, we would lose at least part, and perhaps all, of the patent protection for one or more of our products or product candidates. Such a loss of patent protection could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we may be subject to a third-party pre-issuance submission of prior art to the USPTO, or become involved in reexamination,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or interference proceedings challenging our patent rights. Patents based on applications that we file in the future may also be subject to derivation and/or post-grant review proceedings. An adverse determination in any such submission, proceeding or litigation could reduce the scope of, or invalidate, our patent rights and allow third parties to commercialize our technology or products and compete directly with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prosecuting and defending patents on product candidates in all countries and jurisdictions throughout the world would be prohibitively expensive, and our intellectual property rights in some countries outside the United States are less extensive than in the United States. In addition, the laws of some foreign countries do not protect intellectual property rights to the same extent as federal and state laws in the United States. Consequently, even where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use our technologies in jurisdictions where we do not pursue and obtain patent protection to develop their own products and further, may possibly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with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protection must ultimately be sought on a country-by-country basis, which is an expensive and time-consuming process with uncertain outcomes. Accordingly, we have, and may in the future, choose not to seek patent protection in certain countries. Furthermore, while we intend to protect our intellectual property rights in certain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sued for infringing intellectual property rights of third parties, it will be costly and time consuming, and an unfavorable outcome in that litigation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upon our ability and the ability of our collaborators to develop, manufacture, market and sell their approved products and our product candidates and use our proprietary technologies without infringing the proprietary rights of third parties. Numerous United States and foreign issued patents and pending patent applications, which are owned by third parties, exist in the fields in which we are developing product candidates. As the pharmaceutical industry expands and more patents are issued, the risk increases that our products and product candidates may give rise to claims of infringement of the patent rights of others. There may, for example, be issued patents of third parties of which we are currently unaware, that may be infringed by our products or product candidates, which could prevent us from being able to commercialize our products or product candidates, respectively. Because patent applications can take many years to issue, there may be currently pending applications which may later result in issued patents that our products or product candidates may infringe.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industry is rife with patent litigation between patent holders and producers of follow-on drug products. The possibility of blocking FDA approval of a competitor’s product for up to 30 months provides added incentive to litigate over Orange Book patents, but suits involving non-Orange Book patents are also common in the ADHD space. There have been multiple patent litigations involving nearly all of the medications for treatment of ADHD. This trend may continue and, as a result, we may become party to legal matters and claims arising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exposed to, or threatened with, future litigation by third parties alleging that our products or product candidates infringe their intellectual property rights. If one of our products or product candidates is found to infringe the intellectual property rights of a third party, we or our collaborators could be enjoined by a court and required to pay damages and could be unable to commercialize the applicable approved products and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pending a trial on the merits, which may not occur for several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substantial amount of litigation involving patent and other intellectual property rights in the pharmaceutical industry generally. If a third-party claims that we or our collaborators infringe its intellectual property rights, we may face a number of issues, including, but not limited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infringement and other intellectual property claims which, regardless of merit, may be expensive and time-consuming to litigate and may divert our management’s attention from our core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bringing claims against us may have more resources than us to litigate claims against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damages for infringement, which we may have to pay if a court decides that the product at issue infringes on or violates the third party’s rights, and, if the court finds that the infringement was willful, we could be ordered to pay treble damages and the patent owner’s attorneys’ fees;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prohibiting us from selling our product or any product candidate approved in the future, if any, unless the third party licenses its rights to us, which it is not required to do;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license is available from a third party, we may have to pay substantial royalties, fees or grant cross-licenses to our intellectual property rights;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redesigning any of our products and product candidates so they do not infringe, which may not be possible or may require substantial monetary expenditures and time.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drug development strategy relies heavily upon the 505(b)(2) regulatory approval pathway, which requires us to certify that we do not infringe upon third-party patents covering approved drugs. Such certifications routinely result in third-party claims of intellectual property infringement, the defense of which would be costly and time consuming, and an unfavorable outcome in any litigation may prevent or delay our development and commercialization efforts which would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large part on our avoiding infringement of the patents and proprietary rights of third parties for existing approved drug products. Because we utilize the 505(b)(2) regulatory approval pathway for the approval of our products and product candidates, we rely in whole or in part on studies conducted by third parties related to those approved drug products. As a result, upon filing with the FDA for approval of our product candidates, we will be required to certify to the FDA that either: (1) there is no patent information listed in the FDA’s Orange Book with respect to our NDA; (2) the patents listed in the Orange Book have expired; (3) the listed patents have not expired, but will expire on a particular date and approval is sought after patent expiration; or (4) the listed patents are invalid or will not be infringed by the manufacture, use or sale of our proposed drug product. If we certify to the FDA that a patent is invalid or not infringed, or a Paragraph IV certification, a notice of the Paragraph IV certification must also be sent to the patent owner once our 505(b)(2) NDA is accepted for filing by the FDA. The third party may then initiate a lawsuit against us asserting infringement of the patents identified in the notice. The filing of a patent infringement lawsuit within 45 days of receipt of the notice automatically prevents the FDA from approving our NDA until the earliest of 30 months or the date on which the patent expires, the lawsuit is settled, or the court reaches a decision in the infringement lawsuit in our favor. If the third party does not file a patent infringement lawsuit within the required 45-day period, our NDA will not be subject to the 30-month stay. However, even if the third party does not sue within the 45-day time limit, thereby invoking the 30-month stay, it may still challenge our right to market our product upon FDA approval; therefore, some risk of an infringement suit remains even after the expiry of the 45-day limit.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adequately prevent disclosure of trade secrets and other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employees were previously employed at other companies, including actual or potential competitors. We may also engage advisors and consultants who are concurrently employed at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employer or in violation of an agreement with or legal obligation in favor of another party. Litigation may be necessary to defend against these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we generally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or former employer, and thus, that the third party has an ownership interest in the intellectual property arising out of work performed for us. Litigation may be necessary to defend against these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decision to seek approval of CTx-1301, CTx-1302, and/or CTx-2103 and other product candidates under 505(b)(2) may increase the risk that patent infringement suits are filed against us, which would delay the FDA’s approval of such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NDA that we file under the 505(b)(2) regulatory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significant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products or our other product candidates and distract management from their normal responsibilities.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the Securities Markets and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maintain compliance with Nasdaq’s continued listing requirements could result in the delisting of our securities from Nasdaq, and the price of our common stock and/or warrants and our ability to access the capital markets could be negatively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warrants are currently listed for trading on The Nasdaq Capital Market. We must satisfy the continued listing requirements of Nasdaq to maintain the listing of our securities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2023, we received a notice from the Listing Qualifications Staff (Staff) of Nasdaq stating that we no longer complied with the minimum stockholders’ equity requirement of $2.5 million under the Nasdaq Listing Rule 5550(b)(1) (Minimum Stockholders’ Equity Rule) for continued listing. We submitted a plan of compliance to Nasdaq on June 30, 2023. On July 28, 2023, Nasdaq notified us that it had granted an extension until November 13, 2023 to regain compliance with the Minimum Stockholders’ Equity Rule, conditioned upon achievement of certain milestones included in the plan of compliance previously submitted to Nasdaq, including a plan to raise additional capital. On November 14, 2023, we received a letter from Nasdaq indicating that, based upon our non-compliance with the Minimum Stockholders’ Equity Rule, the Staff had determined to delist our securities from Nasdaq, subject to our request for a hearing before the Nasdaq Hearings Panel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2023, we received an additional letter from the Staff indicating that, based upon the resignation of three members of our board of directors on December 12, 2023 and December 13, 2023, we no longer compiled with the independent director, audit committee, compensation committee and independent director oversight of director nominations requirements as set forth in Nasdaq Listing Rule 5605. We timely requested a hearing before the Panel, which was held on February 13, 2024. On February 22, 2024, the Panel notified us that (i) as a result of the appointment of three independent board members on February 12, 2024, we had regained compliance with the board composition requirements of Nasdaq set forth in Nasdaq Listing Rule 5605 and (ii) it granted our request for an exception to evidence continued compliance with the Minimum Stockholders’ Equity Rule through May 13, 2024. On May 21, 2024, we were formally notified that the Panel determined that we had regained compliance with the Minimum Stockholders’ Equity Rule. Pursuant to Nasdaq Listing Rule 5815(d)(4)(A), we will be subject to a discretionary panel monitor through May 21, 2025 (Panel Monitor). If, within that one-year monitoring period, we fail to maintain compliance with any Nasdaq continued listing requirement, the Staff will issue a Delist Determination Letter and we will have an opportunity to request a new hearing with the initial Panel or a newly convened Hearings Panel if the initial Panel is unavailable. Notwithstanding Nasdaq Listing Rule 5810(c)(2), we will not be permitted to provide the Staff with a plan of compliance with respect to any deficiency that arises during the one-year monitoring period, and the Staff will not be permitted to grant additional time for us to regain compliance with respect to any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2023, we received a notice from Nasdaq indicating that we were not in compliance with the requirement to maintain a minimum bid price of $1.00 per share for continued listing on Nasdaq (Minimum Bid Price Rule). We were provided a compliance period of 180 calendar days from the date of the notice, or until January 24, 2024, to regain compliance with the Minimum Bid Price Rule, pursuant to Nasdaq Listing Rule 5810(c)(3)(A). On November 30, 2023, we effected a reverse stock split of our common stock, and on December 15, 2023, we received notice from Nasdaq that we had regained compliance with the Minimum Bid Price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we received a notice from Nasdaq indicating that, based upon our non-compliance with the Minimum Bid Price Rule, the Staff had determined to delist our securities from Nasdaq unless we timely requested a hearing before the Panel. Because we are subject to the Panel Monitor, the Staff did not grant additional time for the Company to regain compliance with the Minimum Bid Price Rule. We timely requested a hearing before the Panel, which was held on July 25, 2024. Our request for a hearing stayed any suspension or delisting action by the Staff. At such hearing we requested an extension within which to evidence compliance with the Minimum Bid Price Rule. On August 2, 2024, we received a notice from Nasdaq stating that the Panel determined to grant our request for an exception through August 23, 2024 to demonstrate compliance with the Minimum Bid Price Rule. Accordingly, the Panel granted our request for continued listing on Nasdaq, subject to: 1) on or before August 9, 2024, the Company effecting a reverse stock split at a ratio of between 1-for-3 and 1-for-15; and 2) on or before August 23, 2024, the Company demonstrating compliance with the Minimum Bid Price Rule by evidencing a closing bid price of $1.00 or more per share for a minimum of ten consecutive trading sessions. On August 9, 2024, we completed a one-for-twelve reverse stock split in an effort to evidence compliance with the Minimum Bid Price Rule. On September 9, 2024, we were formally notified that the Panel determined the Company has regained compliance with the Minimum Bid Price Rule.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closing bid price again falls below $1.00 per share for more than 30 consecutive business days, we will no longer be in compliance with the Minimum Bid Price Rule, and as a result of the Panel Monitor, we would receive a Delist Determination Letter and we would have an opportunity to request a new hearing with the initial Panel or a newly convened Hearings Panel if the initial Panel is unavailable. There can be no assurance that we will continue to maintain compliance with the Minimum Bid Price Rule or the other Nasdaq listing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satisfy Nasdaq’s continued listing requirements, including, among other things, the Minimum Stockholders’ Equity Rule and the Minimum Bid Price Rule, or risk delisting, which could have a material adverse effect on our business. If our common stock and warrants are delisted from Nasdaq, it could materially reduce the liquidity of our common stock and warrants and result in a corresponding material reduction in the price of our common stock and warrants as a result of the loss of market efficiencies associated with Nasdaq and the loss of federal preemption of state securities laws.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If our common stock and warrants are delisted, it could be more difficult to buy or sell our common stock and warrants or to obtain accurate quotations, and the price of our common stock and warrants could suffer a material decline. Delisting could also impair our ability to raise capital on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or warrants may not be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our common stock or warrants may not be sustained. The lack of an active market for our common stock or warrants may impair investors’ ability to sell their common stock or warrants at the time they wish to sell them or at a price that they consider reasonable, may reduce the fair market value of their shares of common stock or warrants and may impair our ability to raise capital to continue to fund operations by selling securities and may impair our ability to acquire additional intellectual property assets by using our securities as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prices of our securities may be volatile, which could subject us to securities class action litigation and our stockholders could incur substantial losses.</w:t>
      </w:r>
    </w:p>
    <w:p>
      <w:pPr>
        <w:pStyle w:val="TextBody"/>
        <w:bidi w:val="0"/>
        <w:spacing w:before="0" w:after="0"/>
        <w:ind w:left="0" w:right="0" w:firstLine="554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and warrants may be volatile and subject to wide fluctuations in response to factors including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or annual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the pace of our corporate achievements or our growth rate relative to our competitors;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estimates and projections of the investment community or that we provide to the public;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new or updated research or reports by securities analysts;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 price and volume fluctuations attributable to inconsistent trading volume levels of our common stock or warrants;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management or other personnel;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related to proprietary rights, including patents, litigation matters, and our ability to obtain patent protection for our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or expectation of additional debt or equity financing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or warrants by us, our insiders or our other stockholders;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market or political conditions in the United States or elsewhere.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market prices of clinical-stage companies like ours have been highly volatile due to factors, including, but not limited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or failure in a clinical trial for our product candidates or receive approval from the FDA and other regulatory agents;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our product’s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 our competitors’ technological innovations;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valuation of companies perceived by investors to be comparable to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contracts, acquisitions, strategic partnerships, joint ventures, capital commitments, new technologies or patents;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 significant transactions or collaborate with vendors in manufacturing our product;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for legislation that would place restrictions on the price of medical therapies.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market and industry factors may cause the market price and demand for our common stock and warrants to fluctuate substantially, regardless of our actual operating performance, which may limit or prevent investors from readily selling their shares of common stock or warrants and may otherwise negatively affect the liquidity of our common stock and warrants. In addition, the stock market in general, and Nasdaq and emerging growth companies in particular, have experienced extreme price and volume fluctuations that have often been unrelated or disproportionate to the operating performance of these companies. In the past, when the market price of a security has been volatile, holders of that security have instituted securities class action litigation against the company that issued the security. If any of our stockholders brought a lawsuit against us, we could incur substantial costs defending the lawsuit. Such a lawsuit could also divert the time and attention of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will be able take advantage of reduced disclosure requirements applicable to “emerging growth companies,” which could make our securities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from our initial public offering, or until the earliest of (i) the last day of the first fiscal year in which our annual gross revenues exceed $1.235 billion, (ii) the date that we become a “large accelerated filer” as defined in Rule 12b-2 under the Exchange Act, or (iii) the date on which we have issued more than $1 billion in non-convertible debt during the preceding three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take advantage of these reporting exemptions described above until we are no longer an “emerging growth company.” Under the JOBS Act, “emerging growth companies” can also delay adopting new or revised accounting standards until such time as those standards apply to private companies. We have irrevocably elected to avail ourselves of this exemption from new or revised accounting standards and, therefore, we will not be subject to the same new or revised accounting standards as other public companies that are not “emerging growth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if we choose to rely on these exemptions. If some investors find our securities less attractive as a result of any choices to reduce future disclosure, there may be a less active trading market for our securities and the price of our common stock and warrants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not able to maintain an effective system of internal control over financial reporting, the reliability of our financial reporting, investor confidence in us and the value of our common stock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maintain internal control over financial reporting and to report any material weaknesses in such internal controls. A material weakness is defined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material weakness during its assessment of internal controls over financial reporting as of December 31, 2023 as a result of the fact that as of December 31, 2023, we did not have any independent directors. Effective February 12, 2024, our Board appointed Bryan Lawrence as a Class III director, and each of Jeffrey S. Ervin, and John A. Roberts, as a Class II director. The Board has affirmatively determined that each the newly appointed directors (i) is independent under the rules of Nasdaq and (ii) meets the heightened standards of independence for compensation and audit committee membership under the applicable rules of the U.S. Securities and Exchange Commission (“SEC”) and Nasdaq. The Board had also determined that Mr. Roberts qualifies as an “audit committee financial expert” under the criteria set forth in Item 407(d)(5) of Regulation S-K. The Board appointed each of the new directors to serve on the Audit Committee, the Compensation Committee and the Nominating and Corporate Governance Committee of the Board. As a result of the foregoing, the material weakness was deemed remediated as of the date of the filing of our Annual Report on Form 10-K for fiscal year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material weakness described above has been remediated, we can give no assurance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company, we are obligated to develop and maintain proper and effective controls over financial reporting. If we fail to maintain proper and effective internal controls over financial reporting in the future, our ability to produce accurate and timely financial statements could be impaired, which could harm our operating results, investors’ views of us and, as a result,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requires that we evaluate and determine the effectiveness of our internal controls over financial reporting and provide a management report on internal control over financial reporting. When we lose our status as an “emerging growth company,” as defined in the JOBS Act, and reach an accelerated filer threshold, our independent registered public accounting firm will be required to attest to the effectiveness of our internal control over financial reporting. However, for so long as we remain an emerging growth company, we intend to take advantage of an exemption available to emerging growth companies from these auditor attestation requirements.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or warrants may decline.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or warrants could decline, and we could be subject to sanctions or investigations by Nasdaq, the SEC, or other regulatory authorities. Failure to remedy any material weakness or significant deficiencies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significantly increased costs as a result of and devote substantial management time to operating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public company, we will incur significant legal, accounting and other expenses. For example, we will be subject to the reporting requirements of the Securities Exchange Act of 1934, as amended,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changes in corporate governance practices and required filing of annual, quarterly and current reports with respect to our business and operating results. These requirements will increase our legal and financial compliance costs and will make some activities more time-consuming and costly. In addition, our management and other personnel will need to divert attention from operational and other business matters to devote substantial time to these public company requirements. We will also need to hire additional accounting and financial staff with appropriate public company experience and technical accounting knowledge and may need to establish an internal audit function. 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our board committees or as executive officers. 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or estimate the amount of additional costs we may incur as a result of becoming a public company or the timing of such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and warrants will depend in part on the research and reports that securities or industry analysts publish about us or our business. We currently have limited research coverage by securities and industry analysts. If we fail to maintain adequate coverage by securities or industry analysts, the trading price for our stock could be negatively impacted.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warrants, or securities convertible into our common stock may depress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or warrants could decline as a result of sales of a large number of shares of our common stock or warrants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future, we may issue additional shares of common stock, warrants or other equity or debt securities convertible into common stock in connection with a financing, acquisition, litigation settlement, employee arrangements or otherwise. Any such issuances could result in substantial dilution to our existing stockholders and could cause the price of our common stock or warrants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contained in our certificate of incorporation and bylaws, as well as provisions of Delaware law, could impair a takeover attempt.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bylaws and Delaware law contain provisions which could have the effect of rendering more difficult, delaying or preventing an acquisition deemed undesirable by our Board. Our corporate governance documents include provisions: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classifying our Board into three classes;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“blank check” preferred stock, which could be issued by our Board without stockholder approval and may contain voting, liquidation, dividend, and other rights superior to our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the liability of, and providing indemnification to, our directors and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the ability of our stockholders to call and bring business before special meetings;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advance notice of stockholder proposals for business to be conducted at meetings of our stockholders and for nominations of candidates for election to our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our Board with the express power to postpone previously scheduled annual meetings and to cancel previously scheduled special meetings.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our amended and restated certificate of incorporation, bylaws or Delaware law that has the effect of delaying or deterring a change in control could limit the opportunity for our stockholders to receive a premium for their shares of our common stock or warrants and could also affect the price that some investors are willing to pay for our common stock and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paying any cash dividends on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on our common stock in the foreseeable future. We currently intend to retain any future earnings to finance the operation and expansion of our business, and we do not expect to declare or pay any dividends in the foreseeable future. Consequently, stockholders must rely on sales of their common stock and warrants after price appreciation, which may never occur, as the only way to realize any future gains on their investment. There is no guarantee that shares of our common stock or warrants will appreciate in value or even maintain the price at which stockholders have purchased their shares or warrants.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requires that, unless we consent in writing to the selection of an alternative forum, the Court of Chancery of the State of Delaware will, to the fullest extent permitted by law, be the sole and exclusive forum for each of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for breach of any fiduciary duty owed by any director, officer or other employee of ours to the Company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director or officer of ours arising pursuant to, or a claim against us or any of our directors or officers, with respect to the interpretation or application of any provision of, the DGCL, our certificate of incorporation or bylaws; or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governed by the internal affairs doctrine;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if and only if the Court of Chancery of the State of Delaware dismisses any of the foregoing actions for lack of subject matter jurisdiction, any such action or actions may be brought in another state court sitting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provision is limited to the extent permitted by law, and it will not apply to claims arising under the Exchange Act or for any other federal securities laws which provide for exclusive federal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this provision benefits us by providing increased consistency in the application of Delaware law in the types of lawsuits to which it applies, this provision may limit or discourage a stockholder’s ability to bring a claim in a judicial forum that it finds favorable for disputes with us or our directors, officers or other employees, which may discourage such lawsuits against us and our directors, officers and other employees and may result in increased costs for investors to bring a claim.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before="0" w:after="0"/>
        <w:ind w:left="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890"/>
        <w:gridCol w:w="3230"/>
      </w:tblGrid>
      <w:tr>
        <w:trPr/>
        <w:tc>
          <w:tcPr>
            <w:tcW w:w="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2" w:name="ad_001"/>
            <w:bookmarkEnd w:id="42"/>
            <w:r>
              <w:rPr>
                <w:rFonts w:ascii="Times New Roman;Times;Serif" w:hAnsi="Times New Roman;Times;Serif"/>
                <w:b/>
                <w:i w:val="false"/>
                <w:caps w:val="false"/>
                <w:smallCaps w:val="false"/>
                <w:sz w:val="20"/>
              </w:rPr>
              <w:t>ITEM 1B.</w:t>
            </w:r>
          </w:p>
        </w:tc>
        <w:tc>
          <w:tcPr>
            <w:tcW w:w="3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UNRESOLVED STAFF COMMENTS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890"/>
        <w:gridCol w:w="1700"/>
      </w:tblGrid>
      <w:tr>
        <w:trPr/>
        <w:tc>
          <w:tcPr>
            <w:tcW w:w="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3" w:name="m_001"/>
            <w:bookmarkEnd w:id="43"/>
            <w:r>
              <w:rPr>
                <w:rFonts w:ascii="Times New Roman;Times;Serif" w:hAnsi="Times New Roman;Times;Serif"/>
                <w:b/>
                <w:i w:val="false"/>
                <w:caps w:val="false"/>
                <w:smallCaps w:val="false"/>
                <w:sz w:val="20"/>
              </w:rPr>
              <w:t>ITEM 1C.</w:t>
            </w:r>
          </w:p>
        </w:tc>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w:t>
            </w:r>
          </w:p>
        </w:tc>
      </w:tr>
    </w:tbl>
    <w:p>
      <w:pPr>
        <w:pStyle w:val="TextBody"/>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caps w:val="false"/>
          <w:smallCaps w:val="false"/>
          <w:sz w:val="20"/>
        </w:rPr>
      </w:pPr>
      <w:bookmarkStart w:id="44" w:name="xdx_986_ecyd--CybersecurityRiskManagemen"/>
      <w:bookmarkEnd w:id="44"/>
      <w:r>
        <w:rPr>
          <w:rFonts w:ascii="Times New Roman;Times;Serif" w:hAnsi="Times New Roman;Times;Serif"/>
          <w:b/>
          <w:i/>
          <w:caps w:val="false"/>
          <w:smallCaps w:val="false"/>
          <w:sz w:val="20"/>
        </w:rPr>
        <w:t>Risk Management and Strategy</w:t>
      </w:r>
    </w:p>
    <w:p>
      <w:pPr>
        <w:pStyle w:val="TextBody"/>
        <w:shd w:fill="FFFFFF" w:val="clear"/>
        <w:bidi w:val="0"/>
        <w:jc w:val="left"/>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bookmarkStart w:id="45" w:name="xdx_C00_gBFCRMPFAIAMT-ACWM_zOC8Bqk9g1z3"/>
      <w:bookmarkEnd w:id="45"/>
      <w:r>
        <w:rPr>
          <w:rFonts w:ascii="Times New Roman;Times;Serif" w:hAnsi="Times New Roman;Times;Serif"/>
          <w:b w:val="false"/>
          <w:i w:val="false"/>
          <w:caps w:val="false"/>
          <w:smallCaps w:val="false"/>
          <w:sz w:val="20"/>
        </w:rPr>
        <w:t>Like many of our peer companies, we recognize the significance of cybersecurity threats to our clients and operations. Our business strategy, results of operations, and financial condition have not, to date, been affected by risks from cybersecurity threats. During the reporting period, we have not experienced any material cyber incidents, nor have we experienced a series of immaterial incidents, which would require disclosure.</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bookmarkStart w:id="46" w:name="xdx_90C_ecyd--CybersecurityRiskThirdPart"/>
      <w:bookmarkEnd w:id="46"/>
      <w:r>
        <w:rPr>
          <w:rFonts w:ascii="Times New Roman;Times;Serif" w:hAnsi="Times New Roman;Times;Serif"/>
          <w:b w:val="false"/>
          <w:i w:val="false"/>
          <w:caps w:val="false"/>
          <w:smallCaps w:val="false"/>
          <w:sz w:val="20"/>
        </w:rPr>
        <w:t xml:space="preserve">In the ordinary course of our business, we use, store and process data including data of our employees, partners, collaborators, and vendors. To effectively prevent, detect, and respond to cybersecurity threats, we maintain a cyber risk management program, which is comprised of a wide array of architecture and processes. The cyber risk management program falls under the responsibility of our </w:t>
      </w:r>
      <w:bookmarkStart w:id="47" w:name="xdx_905_ecyd--CybersecurityRiskManagemen"/>
      <w:bookmarkEnd w:id="47"/>
      <w:r>
        <w:rPr>
          <w:rFonts w:ascii="Times New Roman;Times;Serif" w:hAnsi="Times New Roman;Times;Serif"/>
          <w:b w:val="false"/>
          <w:i w:val="false"/>
          <w:caps w:val="false"/>
          <w:smallCaps w:val="false"/>
          <w:sz w:val="20"/>
        </w:rPr>
        <w:t xml:space="preserve">Chief Financial Officer who, in turn, manages our outsourced experts in IT and cyber security. Under the guidance of our Chief Financial Officer, we task reputable </w:t>
      </w:r>
      <w:bookmarkStart w:id="48" w:name="xdx_90F_ecyd--CybersecurityRiskManagemen"/>
      <w:bookmarkEnd w:id="48"/>
      <w:r>
        <w:rPr>
          <w:rFonts w:ascii="Times New Roman;Times;Serif" w:hAnsi="Times New Roman;Times;Serif"/>
          <w:b w:val="false"/>
          <w:i w:val="false"/>
          <w:caps w:val="false"/>
          <w:smallCaps w:val="false"/>
          <w:sz w:val="20"/>
        </w:rPr>
        <w:t>third-party IT experts that utilize a wide variety of software to secure the environment.</w:t>
      </w:r>
    </w:p>
    <w:p>
      <w:pPr>
        <w:pStyle w:val="TextBody"/>
        <w:shd w:fill="FFFFFF" w:val="clear"/>
        <w:bidi w:val="0"/>
        <w:ind w:left="0" w:right="0" w:firstLine="72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bookmarkStart w:id="49" w:name="xdx_C04_gBFCRMPFAIAMT-ACWM_zLC2IHqO4Bgj"/>
      <w:bookmarkEnd w:id="49"/>
      <w:r>
        <w:rPr>
          <w:rFonts w:ascii="Times New Roman;Times;Serif" w:hAnsi="Times New Roman;Times;Serif"/>
          <w:b w:val="false"/>
          <w:i w:val="false"/>
          <w:caps w:val="false"/>
          <w:smallCaps w:val="false"/>
          <w:sz w:val="20"/>
        </w:rPr>
        <w:t xml:space="preserve">We have implemented a cybersecurity risk management program that is designed to identify, assess, and mitigate risks from cybersecurity threats to this data and our systems. We deploy a wide range of security tools across the environment including multifactor authentication, data encryption, cloud-based backups, endpoint monitoring, and dark web monitoring. As a result, we have </w:t>
      </w:r>
      <w:bookmarkStart w:id="50" w:name="xdx_901_ecyd--CybersecurityRiskMateriall"/>
      <w:bookmarkEnd w:id="50"/>
      <w:r>
        <w:rPr>
          <w:rFonts w:ascii="Times New Roman;Times;Serif" w:hAnsi="Times New Roman;Times;Serif"/>
          <w:b w:val="false"/>
          <w:i w:val="false"/>
          <w:caps w:val="false"/>
          <w:smallCaps w:val="false"/>
          <w:sz w:val="20"/>
        </w:rPr>
        <w:t>not identified any material cybersecurity risks and are continuously hardening our environment. Additionally, our program includes regular cybersecurity testing for all employees.</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bookmarkStart w:id="51" w:name="xdx_982_ecyd--CybersecurityRiskBoardOfDi"/>
      <w:bookmarkEnd w:id="51"/>
      <w:r>
        <w:rPr>
          <w:rFonts w:ascii="Times New Roman;Times;Serif" w:hAnsi="Times New Roman;Times;Serif"/>
          <w:b w:val="false"/>
          <w:i w:val="false"/>
          <w:caps w:val="false"/>
          <w:smallCaps w:val="false"/>
          <w:sz w:val="20"/>
        </w:rPr>
        <w:t xml:space="preserve">Our </w:t>
      </w:r>
      <w:bookmarkStart w:id="52" w:name="xdx_90B_ecyd--CybersecurityRiskBoardComm"/>
      <w:bookmarkEnd w:id="52"/>
      <w:r>
        <w:rPr>
          <w:rFonts w:ascii="Times New Roman;Times;Serif" w:hAnsi="Times New Roman;Times;Serif"/>
          <w:b w:val="false"/>
          <w:i w:val="false"/>
          <w:caps w:val="false"/>
          <w:smallCaps w:val="false"/>
          <w:sz w:val="20"/>
        </w:rPr>
        <w:t xml:space="preserve">board of directors is responsible for the oversight of cybersecurity risk management. </w:t>
      </w:r>
      <w:bookmarkStart w:id="53" w:name="xdx_900_ecyd--CybersecurityRiskManagemen"/>
      <w:bookmarkEnd w:id="53"/>
      <w:r>
        <w:rPr>
          <w:rFonts w:ascii="Times New Roman;Times;Serif" w:hAnsi="Times New Roman;Times;Serif"/>
          <w:b w:val="false"/>
          <w:i w:val="false"/>
          <w:caps w:val="false"/>
          <w:smallCaps w:val="false"/>
          <w:sz w:val="20"/>
        </w:rPr>
        <w:t xml:space="preserve">The Chief Financial Officer reports to the board of directors. </w:t>
      </w:r>
      <w:bookmarkStart w:id="54" w:name="xdx_901_ecyd--CybersecurityRiskManagemen"/>
      <w:bookmarkEnd w:id="54"/>
      <w:r>
        <w:rPr>
          <w:rFonts w:ascii="Times New Roman;Times;Serif" w:hAnsi="Times New Roman;Times;Serif"/>
          <w:b w:val="false"/>
          <w:i w:val="false"/>
          <w:caps w:val="false"/>
          <w:smallCaps w:val="false"/>
          <w:sz w:val="20"/>
        </w:rPr>
        <w:t xml:space="preserve">The Chief Financial Officer provides updates to the board of directors on our cybersecurity risk management program, including any critical cybersecurity risks, ongoing cybersecurity initiatives and strategies, and applicable regulatory requirements and industry standards on a regular basis. </w:t>
      </w:r>
      <w:bookmarkStart w:id="55" w:name="xdx_906_ecyd--CybersecurityRiskProcessFo"/>
      <w:bookmarkEnd w:id="55"/>
      <w:r>
        <w:rPr>
          <w:rFonts w:ascii="Times New Roman;Times;Serif" w:hAnsi="Times New Roman;Times;Serif"/>
          <w:b w:val="false"/>
          <w:i w:val="false"/>
          <w:caps w:val="false"/>
          <w:smallCaps w:val="false"/>
          <w:sz w:val="20"/>
        </w:rPr>
        <w:t>The Chief Financial Officer also notifies the board of directors of any cybersecurity incidents (suspected or actual) and provides updates on the incidents as well as cybersecurity risk mitigation activities as appropriate.</w:t>
      </w:r>
    </w:p>
    <w:p>
      <w:pPr>
        <w:pStyle w:val="TextBody"/>
        <w:shd w:fill="FFFFFF" w:val="clear"/>
        <w:bidi w:val="0"/>
        <w:ind w:left="0" w:right="0" w:firstLine="72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5"/>
        <w:gridCol w:w="1280"/>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6" w:name="m_002"/>
            <w:bookmarkEnd w:id="56"/>
            <w:r>
              <w:rPr>
                <w:rFonts w:ascii="Times New Roman;Times;Serif" w:hAnsi="Times New Roman;Times;Serif"/>
                <w:b/>
                <w:i w:val="false"/>
                <w:caps w:val="false"/>
                <w:smallCaps w:val="false"/>
                <w:sz w:val="20"/>
              </w:rPr>
              <w:t>ITEM 2.</w:t>
            </w:r>
          </w:p>
        </w:tc>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in Kansas City, Kansas, where we lease approximately 14,205 square feet of office space. Our lease expires in May 2025, with an option to extend. We executed a sub-lease of a portion of our Kansas City office space through September 1, 2025. Our manufacturing activities take place at Societal CDMO, Inc. (dba Bend Bioscience), our CDMO in Gainesville, Georgia. We believe our current offices, laboratories, and manufacturing spaces are sufficient to meet our needs. We may seek to negotiate new leases or evaluate additional or alternate space to accommodate operations. We believe that appropriate alternative space is readily available on commercially reasonable terms.</w:t>
      </w:r>
    </w:p>
    <w:p>
      <w:pPr>
        <w:pStyle w:val="TextBody"/>
        <w:bidi w:val="0"/>
        <w:ind w:left="0" w:right="0" w:firstLine="72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5"/>
        <w:gridCol w:w="2180"/>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7" w:name="m_003"/>
            <w:bookmarkEnd w:id="57"/>
            <w:r>
              <w:rPr>
                <w:rFonts w:ascii="Times New Roman;Times;Serif" w:hAnsi="Times New Roman;Times;Serif"/>
                <w:b/>
                <w:i w:val="false"/>
                <w:caps w:val="false"/>
                <w:smallCaps w:val="false"/>
                <w:sz w:val="20"/>
              </w:rPr>
              <w:t>ITEM 3.</w:t>
            </w:r>
          </w:p>
        </w:tc>
        <w:tc>
          <w:tcPr>
            <w:tcW w:w="2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Part II</w:t>
      </w:r>
      <w:r>
        <w:rPr>
          <w:rFonts w:ascii="Times New Roman;Times;Serif" w:hAnsi="Times New Roman;Times;Serif"/>
          <w:b w:val="false"/>
          <w:i/>
          <w:caps w:val="false"/>
          <w:smallCaps w:val="false"/>
          <w:sz w:val="20"/>
        </w:rPr>
        <w:t>-Item 8, Notes to Consolidated Financial Statements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6 – Contingencies</w:t>
      </w:r>
      <w:r>
        <w:rPr>
          <w:rFonts w:ascii="Times New Roman;Times;Serif" w:hAnsi="Times New Roman;Times;Serif"/>
          <w:b w:val="false"/>
          <w:i w:val="false"/>
          <w:caps w:val="false"/>
          <w:smallCaps w:val="false"/>
          <w:sz w:val="20"/>
        </w:rPr>
        <w:t>, of this annual report.</w:t>
      </w:r>
    </w:p>
    <w:p>
      <w:pPr>
        <w:pStyle w:val="TextBody"/>
        <w:bidi w:val="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5"/>
        <w:gridCol w:w="276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8" w:name="m_004"/>
            <w:bookmarkEnd w:id="58"/>
            <w:r>
              <w:rPr>
                <w:rFonts w:ascii="Times New Roman;Times;Serif" w:hAnsi="Times New Roman;Times;Serif"/>
                <w:b/>
                <w:i w:val="false"/>
                <w:caps w:val="false"/>
                <w:smallCaps w:val="false"/>
                <w:sz w:val="20"/>
              </w:rPr>
              <w:t>ITEM 4.</w:t>
            </w:r>
          </w:p>
        </w:tc>
        <w:tc>
          <w:tcPr>
            <w:tcW w:w="27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 SAFETY DISCLOSURES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9" w:name="m_005"/>
      <w:bookmarkEnd w:id="59"/>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
        <w:gridCol w:w="9509"/>
      </w:tblGrid>
      <w:tr>
        <w:trPr/>
        <w:tc>
          <w:tcPr>
            <w:tcW w:w="69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60" w:name="m_006"/>
            <w:bookmarkEnd w:id="60"/>
            <w:r>
              <w:rPr>
                <w:rFonts w:ascii="Times New Roman;Times;Serif" w:hAnsi="Times New Roman;Times;Serif"/>
                <w:b/>
                <w:i w:val="false"/>
                <w:caps w:val="false"/>
                <w:smallCaps w:val="false"/>
                <w:sz w:val="20"/>
              </w:rPr>
              <w:t>ITEM 5.</w:t>
            </w:r>
          </w:p>
        </w:tc>
        <w:tc>
          <w:tcPr>
            <w:tcW w:w="950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FOR REGISTRANT’S COMMON EQUITY, RELATED STOCKHOLDER MATTERS AND ISSUER PURCHASES OF EQUITY SECURITIES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Capital Market under the symbol “CING.”</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21, 2025, we had 213 holders of record of our common stock.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the stock dividend that was effective on September 20, 2021 for the purpose of establishing the correct number of shares outstanding based upon our valuation prior to our IPO, we have never declared or paid any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issued 42,250 shares of common stock at a value of $4.65 per share to a service provider. Such issuance was exempt from registration under 4(a)(2) of the Securities Act of 1933, as amended.</w:t>
      </w:r>
    </w:p>
    <w:p>
      <w:pPr>
        <w:pStyle w:val="TextBody"/>
        <w:bidi w:val="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5"/>
        <w:gridCol w:w="120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1" w:name="m_007"/>
            <w:bookmarkEnd w:id="61"/>
            <w:r>
              <w:rPr>
                <w:rFonts w:ascii="Times New Roman;Times;Serif" w:hAnsi="Times New Roman;Times;Serif"/>
                <w:b/>
                <w:i w:val="false"/>
                <w:caps w:val="false"/>
                <w:smallCaps w:val="false"/>
                <w:sz w:val="20"/>
              </w:rPr>
              <w:t>ITEM 6.</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
        <w:gridCol w:w="9462"/>
      </w:tblGrid>
      <w:tr>
        <w:trPr/>
        <w:tc>
          <w:tcPr>
            <w:tcW w:w="74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62" w:name="m_008"/>
            <w:bookmarkEnd w:id="62"/>
            <w:r>
              <w:rPr>
                <w:rFonts w:ascii="Times New Roman;Times;Serif" w:hAnsi="Times New Roman;Times;Serif"/>
                <w:b/>
                <w:i w:val="false"/>
                <w:caps w:val="false"/>
                <w:smallCaps w:val="false"/>
                <w:sz w:val="20"/>
              </w:rPr>
              <w:t>ITEM 7.</w:t>
            </w:r>
          </w:p>
        </w:tc>
        <w:tc>
          <w:tcPr>
            <w:tcW w:w="946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consolidated financial statements and related notes included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ind w:left="0" w:right="0" w:firstLine="72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using our proprietary PTR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We are initially focusing our efforts on the treatment of ADHD. Our PTR platform incorporates a proprietary EBL designed to allow for the release of drug substance at specific, pre-defined time intervals, unlocking the potential for once-daily, multi-dose tablets. We believe there remains a significant, unmet need within the current treatment paradigm for true once-daily ADHD stimulant medications with lasting duration and a superior side effect profile to better serve the needs of patients throughout their entire active-day.</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in 2012, our operations have focused on developing our product candidates, primarily CTx-1301, organizing and staffing our company, business planning, raising capital, establishing our intellectual property portfolio and conducting clinical trials. We do not have any product candidates approved for sale and have not generated any revenue. We have funded our operations through public and private capital raised. Cumulative capital raised from these sources, including debt financing, was approximately 107.3 million as of December 31, 2024.</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since our inception. Our ability to generate product revenue sufficient to achieve profitability will depend on the successful development and commercialization of one or more of our product candidates. Our net losses were $15.5 million and $23.5 million for the years ended December 31, 2024 and 2023, respectively. See “Results of Operations” below for an explanation of the fluctuations in our net losses. As of December 31, 2024, we had an accumulated deficit of $108.5 million.</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increasing operating losses in the near term. We expect our expenses will increase substantially in connection with our ongoing activities, as we:</w:t>
      </w:r>
    </w:p>
    <w:p>
      <w:pPr>
        <w:pStyle w:val="TextBody"/>
        <w:shd w:fill="FFFFFF" w:val="clear"/>
        <w:bidi w:val="0"/>
        <w:jc w:val="left"/>
        <w:rPr>
          <w:caps w:val="false"/>
          <w:smallCaps w:val="false"/>
        </w:rPr>
      </w:pPr>
      <w:r>
        <w:rPr>
          <w:caps w:val="false"/>
          <w:smallCaps w:val="false"/>
        </w:rPr>
        <w:t> </w:t>
      </w:r>
    </w:p>
    <w:tbl>
      <w:tblPr>
        <w:tblW w:w="9670" w:type="dxa"/>
        <w:jc w:val="left"/>
        <w:tblInd w:w="0" w:type="dxa"/>
        <w:shd w:fill="FFFFFF" w:val="clear"/>
        <w:tblLayout w:type="fixed"/>
        <w:tblCellMar>
          <w:top w:w="0" w:type="dxa"/>
          <w:left w:w="0" w:type="dxa"/>
          <w:bottom w:w="0" w:type="dxa"/>
          <w:right w:w="0" w:type="dxa"/>
        </w:tblCellMar>
      </w:tblPr>
      <w:tblGrid>
        <w:gridCol w:w="185"/>
        <w:gridCol w:w="9485"/>
      </w:tblGrid>
      <w:tr>
        <w:trPr/>
        <w:tc>
          <w:tcPr>
            <w:tcW w:w="185" w:type="dxa"/>
            <w:tcBorders/>
            <w:shd w:fill="FFFFFF" w:val="clear"/>
            <w:vAlign w:val="center"/>
          </w:tcPr>
          <w:p>
            <w:pPr>
              <w:pStyle w:val="TableContents"/>
              <w:bidi w:val="0"/>
              <w:spacing w:before="0" w:after="283"/>
              <w:jc w:val="both"/>
              <w:rPr/>
            </w:pPr>
            <w:r>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regulatory approval for CTx-1301;</w:t>
            </w:r>
          </w:p>
        </w:tc>
      </w:tr>
      <w:tr>
        <w:trPr/>
        <w:tc>
          <w:tcPr>
            <w:tcW w:w="185" w:type="dxa"/>
            <w:tcBorders/>
            <w:shd w:fill="FFFFFF" w:val="clear"/>
            <w:vAlign w:val="center"/>
          </w:tcPr>
          <w:p>
            <w:pPr>
              <w:pStyle w:val="TableContents"/>
              <w:bidi w:val="0"/>
              <w:spacing w:before="0" w:after="283"/>
              <w:jc w:val="both"/>
              <w:rPr/>
            </w:pPr>
            <w:r>
              <w:rPr/>
              <w:t> </w:t>
            </w:r>
          </w:p>
        </w:tc>
        <w:tc>
          <w:tcPr>
            <w:tcW w:w="9485"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both"/>
              <w:rPr/>
            </w:pPr>
            <w:r>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research and development activities for our existing and new product candidates, primarily for CTx-1301;</w:t>
            </w:r>
          </w:p>
        </w:tc>
      </w:tr>
      <w:tr>
        <w:trPr/>
        <w:tc>
          <w:tcPr>
            <w:tcW w:w="185" w:type="dxa"/>
            <w:tcBorders/>
            <w:shd w:fill="FFFFFF" w:val="clear"/>
            <w:vAlign w:val="center"/>
          </w:tcPr>
          <w:p>
            <w:pPr>
              <w:pStyle w:val="TableContents"/>
              <w:bidi w:val="0"/>
              <w:spacing w:before="0" w:after="283"/>
              <w:jc w:val="both"/>
              <w:rPr/>
            </w:pPr>
            <w:r>
              <w:rPr/>
              <w:t> </w:t>
            </w:r>
          </w:p>
        </w:tc>
        <w:tc>
          <w:tcPr>
            <w:tcW w:w="9485"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both"/>
              <w:rPr/>
            </w:pPr>
            <w:r>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manufacturing activities for our existing and new product candidates, primarily for CTx-1301;</w:t>
            </w:r>
          </w:p>
        </w:tc>
      </w:tr>
      <w:tr>
        <w:trPr/>
        <w:tc>
          <w:tcPr>
            <w:tcW w:w="185" w:type="dxa"/>
            <w:tcBorders/>
            <w:shd w:fill="FFFFFF" w:val="clear"/>
            <w:vAlign w:val="center"/>
          </w:tcPr>
          <w:p>
            <w:pPr>
              <w:pStyle w:val="TableContents"/>
              <w:bidi w:val="0"/>
              <w:spacing w:before="0" w:after="283"/>
              <w:jc w:val="both"/>
              <w:rPr/>
            </w:pPr>
            <w:r>
              <w:rPr/>
              <w:t> </w:t>
            </w:r>
          </w:p>
        </w:tc>
        <w:tc>
          <w:tcPr>
            <w:tcW w:w="9485"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both"/>
              <w:rPr/>
            </w:pPr>
            <w:r>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licensing partners and/or outsource commercial infrastructure to support sales and marketing for CTx-1301; and</w:t>
            </w:r>
          </w:p>
        </w:tc>
      </w:tr>
      <w:tr>
        <w:trPr/>
        <w:tc>
          <w:tcPr>
            <w:tcW w:w="185" w:type="dxa"/>
            <w:tcBorders/>
            <w:shd w:fill="FFFFFF" w:val="clear"/>
            <w:vAlign w:val="center"/>
          </w:tcPr>
          <w:p>
            <w:pPr>
              <w:pStyle w:val="TableContents"/>
              <w:bidi w:val="0"/>
              <w:spacing w:before="0" w:after="283"/>
              <w:jc w:val="both"/>
              <w:rPr/>
            </w:pPr>
            <w:r>
              <w:rPr/>
              <w:t> </w:t>
            </w:r>
          </w:p>
        </w:tc>
        <w:tc>
          <w:tcPr>
            <w:tcW w:w="9485" w:type="dxa"/>
            <w:tcBorders/>
            <w:shd w:fill="FFFFFF" w:val="clear"/>
            <w:vAlign w:val="center"/>
          </w:tcPr>
          <w:p>
            <w:pPr>
              <w:pStyle w:val="TableContents"/>
              <w:bidi w:val="0"/>
              <w:spacing w:before="0" w:after="283"/>
              <w:jc w:val="both"/>
              <w:rPr/>
            </w:pPr>
            <w:r>
              <w:rPr/>
              <w:t> </w:t>
            </w:r>
          </w:p>
        </w:tc>
      </w:tr>
      <w:tr>
        <w:trPr/>
        <w:tc>
          <w:tcPr>
            <w:tcW w:w="185" w:type="dxa"/>
            <w:tcBorders/>
            <w:shd w:fill="FFFFFF" w:val="clear"/>
            <w:vAlign w:val="center"/>
          </w:tcPr>
          <w:p>
            <w:pPr>
              <w:pStyle w:val="TableContents"/>
              <w:bidi w:val="0"/>
              <w:spacing w:before="0" w:after="283"/>
              <w:jc w:val="both"/>
              <w:rPr/>
            </w:pPr>
            <w:r>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operate as a public company.</w:t>
            </w:r>
          </w:p>
        </w:tc>
      </w:tr>
    </w:tbl>
    <w:p>
      <w:pPr>
        <w:pStyle w:val="TextBody"/>
        <w:shd w:fill="FFFFFF" w:val="clear"/>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targeting to file our NDA submission for CTx-1301 in mid-2025 and believe our cash will satisfy our capital needs into the fourth quarter of 2025 under our current business plan. We will need additional capital to advance our other programs and commercialization efforts for CTx-1301. See “Liquidity and Capital Resources”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Reverse Stock Split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2024, we completed a one-for-twelve reverse stock split (the “2024 Reverse Stock Split”), which reduced the number of shares of our common stock that were issued and outstanding immediately prior to the effectiveness of the 2024 Reverse Stock Split. The number of shares of our authorized common stock was not affected by the 2024 Reverse Stock Split and the par value of our common stock remained unchanged at $0.0001 per share. No fractional shares were issued in connection with the 2024 Reverse Stock Split. All share and per share amounts in this report have been adjusted to reflect the 2024 Reverse Stock Split.</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Issuances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Agreement</w:t>
      </w:r>
    </w:p>
    <w:p>
      <w:pPr>
        <w:pStyle w:val="TextBody"/>
        <w:shd w:fill="FFFFFF" w:val="clear"/>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ATM Agreement with HCW, as sales agent, in January 2023 as amended in May 2023, pursuant to which we may offer and sell, from time to time through HCW, shares of our common stock for aggregate proceeds of up to $23.5 million (upon the terms and subject to the conditions and limitations set forth in the ATM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we sold 983,093 shares of common stock under the ATM Agreement, for net proceeds of $9,393,550, after deducting $298,498 of compensation to HCW and other administration fees. Subsequent to December 31, 2024, we sold 142,685 shares of common stock under the ATM Agreement, for net proceeds of $776,091, after deducting $25,756 of compensation to HCW and other administration fees.</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Line of Credit</w:t>
      </w:r>
    </w:p>
    <w:p>
      <w:pPr>
        <w:pStyle w:val="TextBody"/>
        <w:shd w:fill="FFFFFF" w:val="clear"/>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we entered into a purchase agreement (the “Lincoln Park Agreement”) with Lincoln Park Capital Fund LLC (“Lincoln Park”). Pursuant to the Lincoln Park Agreement, Lincoln Park has agreed to purchase from us up to an aggregate of $12.0 million of common stock (upon the terms and subject to the conditions and limitations set forth in the Lincoln Park Agreement) from time to time and at our sole discretion over the 36-month term of the Lincoln Park Agreement. During 2024, we sold 1,472,363 shares of common stock under the Lincoln Park Agreement, for net proceeds of $8,037,501. Subsequent to December 31, 2024, we sold 223,409 shares of common stock under the Lincoln Park Agreement, for net proceeds of $899,989.</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2023, we entered into a Securities Purchase Agreement with WFIA (the “August 2023 Purchase Agreement”) and issued, in a private placement priced at the market under the Nasdaq Stock Market’s rules, 7,597 shares of our common stock at a purchase price per share of $131.64, resulting in gross proceeds to us of approximately $1.0 million (the “WFIA Private Placement”).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Conversion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CTx, a wholly-owned subsidiary of Cingulate Inc. issued a promissory note to WFIA with a principal amount of $5.0 million, and in May 2023, CTx issued an amended and restated promissory note (the “WFIA Note”) increasing the principal amount under the promissory note by $3.0 million to $8.0 million.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Cingulate Inc. and CTx entered into a note conversion agreement with WFIA, pursuant to which WFIA agreed to convert $5.0 million of principal under the WFIA Note plus all accrued interest thereon, or $5,812,500, into pre-funded warrants (the “September WFIA Pre-Funded Warrants”) to purchase 28,493 shares of our common stock at a conversion price per September WFIA Pre-Funded Warrant of $204.00. The closing price of our common stock on Nasdaq on September 8, 2023 was $138.60 per share. The September WFIA Pre-Funded Warrants had no expiration date and were exercisable immediately at an exercise price of $0.024 per share, to the extent that after giving effect to such exercise, WFIA and its affiliates would beneficially own, for purposes of Section 13(d) of the Exchange Act, no more than 19.99% of the outstanding shares of our common stock.</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Cingulate Inc. and CTx entered into a note conversion agreement with WFIA, pursuant to which WFIA agreed to convert the remaining $3.0 million of principal under the WFIA Note plus all accrued interest thereon, or $3,287,500, into pre-funded warrants (the “January WFIA Pre-Funded Warrants”) to purchase 57,254 shares of our common stock, at a conversion price per January WFIA Pre-Funded Warrant of $57.42. The closing price of the Common Stock on Nasdaq on January 24, 2024 was $52.20 per share. The January WFIA Pre-Funded Warrants had no expiration date and were exercisable immediately at an exercise price of $0.0012 per share, to the extent that after giving effect to such exercise, WFIA and its affiliates would beneficially own, for purposes of Section 13(d) of the Exchange Act, no more than 19.99% of the outstanding shares of our common stock. In March of 2024, we issued to WFIA an additional pre-funded warrant to purchase 588 shares of common stock as a result of an error in the interest calculation, on the same form and at the same conversion price as the January WFIA Pre-Funded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WFIA Note was unsecured with interest accruing at 15% per annum. Outstanding principal and all accrued and unpaid interest was due and payable on August 8, 2025 unless accelerated due to an event of default. After the conversion of the remaining principal amount plus all accrued interest thereon and the issuance of the January WFIA Pre-Funded Warrants, the WFIA Note was paid in full and the Company has no further obligations under the WFIA Note. WFIA exercised all of its pre-funded warrants in April 2024.</w:t>
      </w:r>
    </w:p>
    <w:p>
      <w:pPr>
        <w:pStyle w:val="TextBody"/>
        <w:shd w:fill="FFFFFF" w:val="clear"/>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Offerings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we entered into a Securities Purchase Agreement with an institutional investor, pursuant to which we issued 7,167 shares of our common stock, pre-funded warrants to purchase up to an aggregate of 21,688 shares of our common stock, Series A warrants to purchase up to 28,855 shares of our common stock and Series B warrants to purchase up to 14,428 shares of our common stock (the “September 2023 Offering”). The September 2023 Offering closed on September 13, 2023. The combined purchase price per share of common stock and accompanying Series A and Series B warrants was $138.62. The combined purchase price per pre-funded warrant and accompanying Series A and Series B warrants was $138.62 which represents the public offering price per share of common stock and accompanying warrants less the $0.024 per share exercise price for each pre-funded warrant. The pre-funded warrants are exercisable at any time after the date of issuance and have no expiration date. The holder of pre-funded warrants may not exercise the warrants if the holder, together with its affiliates, would beneficially own more than 4.99% (or, at the election of the holder, 9.99%) of the number of shares of common stock outstanding immediately after giving effect to such exercise. The Series A warrants and Series B had an original exercise price of $138.62 per share, were exercisable beginning on November 3, 2023, the effective date of stockholder approval of the issuance of the shares issuable upon exercise of the warrants, and had an original expiration date of five years and two years, respectively, after the initial exercise date. In connection with the waiver granted in March 2024 by the purchaser in the February 2024 Offering (defined below) to allow the Company to file a prospectus supplement to increase the maximum aggregate offering price of shares of the Company’s common stock issuable under the ATM Agreement, the exercise price of the Series A and Series B warrants was lowered from $138.62 to $13.56 per share and the term of the Series A warrants was extended to March 17, 2029 and the term of the Series B warrants was extended to March 17, 2026. We received gross proceeds of approximately $4.0 million, before deducting $445,000 of placement agent’s fees and other offering expenses, pursuant to the September 2023 Offering. As of December 31, 2024, all of the pre-funded warrants issued in the September 2023 Offering had been exercised.</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we entered into agreements, including a Securities Purchase Agreement, with investors, pursuant to which we issued 114,583 shares of our common stock, pre-funded warrants to purchase up to an aggregate of 197,917 shares of our common stock, Series A warrants to purchase up to 312,500 shares of our common stock and Series B warrants to purchase up to 312,500 shares of our common stock (the “February 2024 Offering”). The February 2024 Offering closed on February 6, 2024. The combined purchase price per share of common stock and accompanying Series A and Series B warrants was $24.00. The combined purchase price per pre-funded warrant and accompanying Series A and Series B warrants was $23.9988, which represents the public offering price per share of common stock and accompanying warrants less the $0.0012 per share exercise price for each pre-funded warrant. The pre-funded warrants are exercisable at any time after the date of issuance and have no expiration date. The holder of pre-funded warrants may not exercise the warrants if the holder, together with its affiliates, would beneficially own more than 4.99% (or, at the election of the holder, 9.99%) of the number of shares of common stock outstanding immediately after giving effect to such exercise. The Series A warrants have an exercise price of $24.00 per share, were exercisable immediately, and will expire five years after the issuance date, and the Series B warrants have an exercise price of $24.00 per share, were exercisable immediately, and will expire two years after the issuance date. We received gross proceeds of approximately $7.5 million, before deducting $750,950 of placement agent’s fees and other offering expenses, pursuant to the February 2024 Offering. As of December 31, 2024, all pre-funded warrants had been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Inducement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entered into an inducement offer letter agreement (the “June 2024 Warrant Inducement”), pursuant to which certain holders (“Holders”) of certain of our existing warrants to purchase 265,625 shares of common stock issued to the Holders on February 6, 2024 (the “February 2024 Warrants”) agreed to exercise for cash their February 2024 Warrants at a reduced exercise price of $7.02 per share. In consideration for the exercise of the February 2024 Warrants, the Holders received new Series C common stock purchase warrants to purchase an aggregate of 354,167 shares of common stock and new Series D common stock purchase warrants to purchase an aggregate of 177,083 shares of common stock. Such new warrants have an exercise price of $7.02 per share. We received net proceeds of $1.6 million from the closing of the June 2024 Warrant Inducement, which occurred on July 1, 2024. The Series C and Series D warrants have an exercise price of $7.02 per share and were exercisable beginning on August 24, 2024, the effective date of stockholder approval of the shares issuable pursuant to the warrants. The Series C warrants have a five-year term and the Series D warrants have a two-year term from the initial exercise date.</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Issuance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we entered into a Note Purchase Agreement (the “Note Purchase Agreement”) with Streeterville Capital, LLC, a Utah limited liability company (“Lender”), pursuant to which we issued and sold to Lender an unsecured promissory note (the “Promissory Note”) in the amount of $5,480,000. The principal amount includes an original issue discount of $450,000 and expenses payable by us of $30,000. In exchange for the Promissory Note, the Lender paid a purchase price of $5,000,000 in cash. The Promissory Note bears interest at a rate of 9% per annum and matures 18 months after its issuance date. Our wholly-owned subsidiaries Cingulate Therapeutics LLC and Cingulate Works, Inc., provided a guarantee of our obligations to the Lender under the Promissory Note and the other transaction documents. We intend to use the net proceeds from the sale of the Promissory Note for working capital and other general corporate purposes.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beginning on July 2, 2025, Lender may redeem a portion of the Promissory Note, not to exceed an amount of $550,000 per month. In the event the Promissory Note is outstanding on the 90-day anniversary of the effective date of the Promissory Note, we will be charged a monitoring fee equal to the outstanding balance on such date divided by 0.85 less the outstanding balance on such date. Subject to the terms and conditions set forth in the Promissory Note, we may prepay all or any portion of the outstanding balance of the Promissory Note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Note Purchase Agreement, while the Promissory Note is still outstanding, we will not enter into any arrangement that prohibits us from entering into a variable rate transaction, as defined in the Note Purchase Agreement, with Lender or its affiliates, or from issuing our securities to Lender or its affiliates. We are also prohibited from entering into a variable rate transaction until July 1, 2025, subject to certain exceptions. At any time while the Promissory Note is still outstanding, Lender will have the right, but not the obligation, with our consent, to reinvest up to an additional $5.0 million in one or more tranches on the same terms and conditions as the Promissory Note. Additionally, so long as the Promissory Note is outstanding, upon any issuance by us of any debt security with any economic term or condition more favorable to the holder of such security that was not provided to Lender pursuant to the Promissory Note, then, at Lender’s option, such additional term shall become part of the Promissory Note and related documents for the benefit of Lender. See Note 8 to our consolidated financial statements for additional information regarding the Promissory Note and the Note 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of license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in the discovery and development of our product candidates, and primarily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under third party agreements with CROs, and investigative sites, that conducted or will conduct our clinical trials and a portion of our pre-clinical activities;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of raw materials, as well as manufacturing cost of our materials used in clinical trials and other development testing;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including salaries and benefits of employees engaged in research and development activities;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of manufacturing equipment, depreciation and other allocated expenses;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fees paid for contracted regulatory services as well as fees paid to regulatory authorities including the FDA for review and approval of our product candidates.</w:t>
            </w:r>
          </w:p>
        </w:tc>
      </w:tr>
    </w:tbl>
    <w:p>
      <w:pPr>
        <w:pStyle w:val="TextBody"/>
        <w:bidi w:val="0"/>
        <w:ind w:left="7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costs.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We expect that our research and development expenses will continue to increase for the foreseeable future as we continue clinical development for our product candidates, as well as adding additional PTR product candidates to our pipeline.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CTx-1301. As we advance CTx-1301, CTx-1302, and CTx-2103,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w:t>
      </w:r>
    </w:p>
    <w:p>
      <w:pPr>
        <w:pStyle w:val="TextBody"/>
        <w:bidi w:val="0"/>
        <w:ind w:left="16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related costs for our employees in administrative, executive and finance functions. General and administrative expenses also include professional fees for legal, accounting, audit, tax and consulting services, insurance, office, and travel expenses.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general and administrative expenses will increase in the future as we increase our general and administrative headcount to support our growing operations including the potential commercialization of our product candidates. We have experienced, and will continue to experience, increased expenses associated with being a public company, including costs of accounting, audit, legal, regulatory and tax compliance services; director and officer insurance; and investor and public relations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and other income (expense), net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 consists of interest expense on our notes payable and interest earned on our cash and cash equivalents, including money market funds. The primary objective of our investment policy is liquidity and capital preservation.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U.S. generally accepted accounting principles (“U.S. GAAP”). The preparation of the consolidated financial statements in conformity with U.S. GAAP requires management to make estimates and assumptions that affect the reported amounts of assets and liabilities, the disclosure of contingent assets and liabilities as of the date of the consolidated financial statements and the reported amounts of expenses during a reporting period. Actual results could differ from estimates.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significant accounting policies are described in more detail in Note 2 to our consolidated financial statements, we believe the following accounting policies are those most critical to the judgements and estimates used in the preparation of our consolidated financial statements.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ind w:left="72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and include all direct and indirect costs associated with the development of our product candidates. These expenses include payments to third parties for research, development and manufacturing services, personnel costs and depreciation on manufacturing equipment. At the end of the reporting period, we compare payments made to third party service providers to the estimated progress toward completion of the research or development objectives. Such estimates are subject to change as additional information becomes available. Depending on the timing of payments to service providers and the progress that we estimate have been made as a result of the service provided, we may record net prepaid or accrued expense relating to these costs.</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2021 Omnibus Equity Incentive Plan (the “2021 Plan”), we granted non-qualified stock options to certain employees, directors and consultants in 2024 and 2023. The options were granted with strike prices ranging from $4.00 to $14.00 in 2024 and $153.96 to $366.84 per share in 2023. The term of these options is ten years with vesting periods ranging from immediate to four years.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stock-based compensation expense of $995,484 and $812,670 during the years ended December 31, 2024 and 2023, respectively, based on the grant-date fair value of the options granted. The fair value of each option grant was estimated as of the date of grant using the Black-Scholes option-pricing model. The fair value is amortized as compensation cost on a straight-line basis over the requisite service period of the awards, which is generally the vesting period.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12 to our consolidated financial statements for the assumptions that were used to estimate the fair value of stock options granted using the Black-Scholes option pricing model.</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2024 and December 31, 2023</w:t>
      </w:r>
    </w:p>
    <w:p>
      <w:pPr>
        <w:pStyle w:val="TextBody"/>
        <w:bidi w:val="0"/>
        <w:ind w:left="16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2024 and 2023:</w:t>
      </w:r>
    </w:p>
    <w:p>
      <w:pPr>
        <w:pStyle w:val="TextBody"/>
        <w:bidi w:val="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800"/>
        <w:gridCol w:w="60"/>
        <w:gridCol w:w="140"/>
        <w:gridCol w:w="755"/>
        <w:gridCol w:w="95"/>
        <w:gridCol w:w="60"/>
        <w:gridCol w:w="140"/>
        <w:gridCol w:w="755"/>
        <w:gridCol w:w="95"/>
        <w:gridCol w:w="60"/>
        <w:gridCol w:w="195"/>
        <w:gridCol w:w="889"/>
        <w:gridCol w:w="95"/>
        <w:gridCol w:w="60"/>
        <w:gridCol w:w="103"/>
        <w:gridCol w:w="981"/>
        <w:gridCol w:w="30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0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305" w:type="dxa"/>
            <w:tcBorders/>
            <w:vAlign w:val="center"/>
          </w:tcPr>
          <w:p>
            <w:pPr>
              <w:pStyle w:val="TableContents"/>
              <w:bidi w:val="0"/>
              <w:spacing w:before="0" w:after="283"/>
              <w:jc w:val="left"/>
              <w:rPr/>
            </w:pPr>
            <w:r>
              <w:rPr/>
              <w:t> </w:t>
            </w:r>
          </w:p>
        </w:tc>
      </w:tr>
      <w:tr>
        <w:trPr/>
        <w:tc>
          <w:tcPr>
            <w:tcW w:w="38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thousands)</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30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(“R&amp;D”) for the years ended December 31, 2024 and 2023:</w:t>
      </w:r>
    </w:p>
    <w:p>
      <w:pPr>
        <w:pStyle w:val="TextBody"/>
        <w:bidi w:val="0"/>
        <w:jc w:val="both"/>
        <w:rPr>
          <w:caps w:val="false"/>
          <w:smallCaps w:val="false"/>
        </w:rPr>
      </w:pPr>
      <w:r>
        <w:rPr>
          <w:caps w:val="false"/>
          <w:smallCaps w:val="false"/>
        </w:rPr>
        <w:t> </w:t>
      </w:r>
    </w:p>
    <w:tbl>
      <w:tblPr>
        <w:tblW w:w="8413" w:type="dxa"/>
        <w:jc w:val="left"/>
        <w:tblInd w:w="0" w:type="dxa"/>
        <w:tblLayout w:type="fixed"/>
        <w:tblCellMar>
          <w:top w:w="0" w:type="dxa"/>
          <w:left w:w="0" w:type="dxa"/>
          <w:bottom w:w="0" w:type="dxa"/>
          <w:right w:w="0" w:type="dxa"/>
        </w:tblCellMar>
      </w:tblPr>
      <w:tblGrid>
        <w:gridCol w:w="3965"/>
        <w:gridCol w:w="60"/>
        <w:gridCol w:w="140"/>
        <w:gridCol w:w="560"/>
        <w:gridCol w:w="60"/>
        <w:gridCol w:w="60"/>
        <w:gridCol w:w="140"/>
        <w:gridCol w:w="680"/>
        <w:gridCol w:w="60"/>
        <w:gridCol w:w="60"/>
        <w:gridCol w:w="195"/>
        <w:gridCol w:w="889"/>
        <w:gridCol w:w="95"/>
        <w:gridCol w:w="60"/>
        <w:gridCol w:w="112"/>
        <w:gridCol w:w="972"/>
        <w:gridCol w:w="30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0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305" w:type="dxa"/>
            <w:tcBorders/>
            <w:vAlign w:val="center"/>
          </w:tcPr>
          <w:p>
            <w:pPr>
              <w:pStyle w:val="TableContents"/>
              <w:bidi w:val="0"/>
              <w:spacing w:before="0" w:after="283"/>
              <w:jc w:val="left"/>
              <w:rPr/>
            </w:pPr>
            <w:r>
              <w:rPr/>
              <w:t> </w:t>
            </w:r>
          </w:p>
        </w:tc>
      </w:tr>
      <w:tr>
        <w:trPr/>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thousands)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30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Drug manufacturing and formulation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were $9.4 million for the year ended December 31, 2024, a decrease of $6.0 million or 39.0% from the year ended December 31, 2023. This change was primarily the result of decreased clinical activity in 2024 as compared to 2023. During 2023, we incurred significant costs relating to two Phase 3 studies for CTx-1301, the fixed dose pediatric and adolescent safety and efficacy study and the pediatric dose optimization and duration study. Enrollment in these two studies was closed in early 2024 and we are progressing with the remaining close-out and analytical activities required for an NDA submission. Manufacturing costs also decreased, as the activity in 2023 was more significant for the manufacture of clinical supply for the Phase 3 studies. In 2024, manufacturing activity included the completion of registration batches of CTx-1301. The decrease in personnel costs is the result of lower headcount and the cost containment measures, which were implemented in late 2023 in order to conserve cash, including salary reductions ranging from 5-55% for all employees. This decrease was offset by the reinstatement of 2023 base salaries for all employees in September 2024.</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(“G&amp;A”) expenses for the years ended December 31, 2024 and 2023:</w:t>
      </w:r>
    </w:p>
    <w:p>
      <w:pPr>
        <w:pStyle w:val="TextBody"/>
        <w:bidi w:val="0"/>
        <w:jc w:val="center"/>
        <w:rPr>
          <w:caps w:val="false"/>
          <w:smallCaps w:val="false"/>
        </w:rPr>
      </w:pPr>
      <w:r>
        <w:rPr>
          <w:caps w:val="false"/>
          <w:smallCaps w:val="false"/>
        </w:rPr>
        <w:t> </w:t>
      </w:r>
    </w:p>
    <w:tbl>
      <w:tblPr>
        <w:tblW w:w="8308"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60"/>
        <w:gridCol w:w="60"/>
        <w:gridCol w:w="195"/>
        <w:gridCol w:w="889"/>
        <w:gridCol w:w="95"/>
        <w:gridCol w:w="60"/>
        <w:gridCol w:w="112"/>
        <w:gridCol w:w="972"/>
        <w:gridCol w:w="30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0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305" w:type="dxa"/>
            <w:tcBorders/>
            <w:vAlign w:val="center"/>
          </w:tcPr>
          <w:p>
            <w:pPr>
              <w:pStyle w:val="TableContents"/>
              <w:bidi w:val="0"/>
              <w:spacing w:before="0" w:after="283"/>
              <w:jc w:val="left"/>
              <w:rPr/>
            </w:pPr>
            <w:r>
              <w:rPr/>
              <w:t> </w:t>
            </w:r>
          </w:p>
        </w:tc>
      </w:tr>
      <w:tr>
        <w:trPr/>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thousands)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30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and 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Occupancy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expenses were $6.2 million for the year ended December 31, 2024, a decrease of $1.1 million or 14.7% from the year ended December 31, 2023. This is primarily the result of a decrease in personnel expenses and insurance. The decrease in personnel expenses was primarily due to lower headcount and the cost containment measures, which we implemented in late 2023 in order to conserve cash, including salary reductions ranging from 5-55% for all employees. 2023 base salaries for all employees were reinstated in September 2024. Insurance expense was lower due to a decrease in the annual directors’ and officers’ insurance premium from 2023 to 2024. These decreases were partially offset by an increase in professional fees including an increase in legal fees related to both an increase in patent activity and legal costs incurred in connection with special meetings, the 2024 Reverse Stock Split and capital raising activity.</w:t>
      </w:r>
    </w:p>
    <w:p>
      <w:pPr>
        <w:pStyle w:val="TextBody"/>
        <w:bidi w:val="0"/>
        <w:ind w:left="24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and other income (expense),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interest and other income (expense), net for the years ended December 31, 2024 and 2023:</w:t>
      </w:r>
    </w:p>
    <w:p>
      <w:pPr>
        <w:pStyle w:val="TextBody"/>
        <w:bidi w:val="0"/>
        <w:jc w:val="center"/>
        <w:rPr>
          <w:caps w:val="false"/>
          <w:smallCaps w:val="false"/>
        </w:rPr>
      </w:pPr>
      <w:r>
        <w:rPr>
          <w:caps w:val="false"/>
          <w:smallCaps w:val="false"/>
        </w:rPr>
        <w:t> </w:t>
      </w:r>
    </w:p>
    <w:tbl>
      <w:tblPr>
        <w:tblW w:w="7944" w:type="dxa"/>
        <w:jc w:val="left"/>
        <w:tblInd w:w="0" w:type="dxa"/>
        <w:tblLayout w:type="fixed"/>
        <w:tblCellMar>
          <w:top w:w="0" w:type="dxa"/>
          <w:left w:w="0" w:type="dxa"/>
          <w:bottom w:w="0" w:type="dxa"/>
          <w:right w:w="0" w:type="dxa"/>
        </w:tblCellMar>
      </w:tblPr>
      <w:tblGrid>
        <w:gridCol w:w="3800"/>
        <w:gridCol w:w="60"/>
        <w:gridCol w:w="177"/>
        <w:gridCol w:w="329"/>
        <w:gridCol w:w="75"/>
        <w:gridCol w:w="75"/>
        <w:gridCol w:w="177"/>
        <w:gridCol w:w="578"/>
        <w:gridCol w:w="95"/>
        <w:gridCol w:w="60"/>
        <w:gridCol w:w="291"/>
        <w:gridCol w:w="793"/>
        <w:gridCol w:w="60"/>
        <w:gridCol w:w="60"/>
        <w:gridCol w:w="103"/>
        <w:gridCol w:w="981"/>
        <w:gridCol w:w="23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3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w:t>
            </w:r>
          </w:p>
        </w:tc>
        <w:tc>
          <w:tcPr>
            <w:tcW w:w="230" w:type="dxa"/>
            <w:tcBorders/>
            <w:vAlign w:val="center"/>
          </w:tcPr>
          <w:p>
            <w:pPr>
              <w:pStyle w:val="TableContents"/>
              <w:bidi w:val="0"/>
              <w:spacing w:before="0" w:after="283"/>
              <w:jc w:val="left"/>
              <w:rPr/>
            </w:pPr>
            <w:r>
              <w:rPr/>
              <w:t> </w:t>
            </w:r>
          </w:p>
        </w:tc>
      </w:tr>
      <w:tr>
        <w:trPr/>
        <w:tc>
          <w:tcPr>
            <w:tcW w:w="38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thousands)</w:t>
            </w:r>
          </w:p>
        </w:tc>
        <w:tc>
          <w:tcPr>
            <w:tcW w:w="60" w:type="dxa"/>
            <w:tcBorders/>
            <w:vAlign w:val="center"/>
          </w:tcPr>
          <w:p>
            <w:pPr>
              <w:pStyle w:val="TableContents"/>
              <w:bidi w:val="0"/>
              <w:spacing w:before="0" w:after="283"/>
              <w:jc w:val="left"/>
              <w:rPr/>
            </w:pPr>
            <w:r>
              <w:rPr/>
              <w:t> </w:t>
            </w:r>
          </w:p>
        </w:tc>
        <w:tc>
          <w:tcPr>
            <w:tcW w:w="5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(Decrease)</w:t>
            </w:r>
          </w:p>
        </w:tc>
        <w:tc>
          <w:tcPr>
            <w:tcW w:w="23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other income (expense), net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and other income (expense), net in 2023 primarily relates to interest incurred on outstanding notes payable, offset by interest earned on invested balances. The related party promissory note was converted to equity in September 2023 and January 2024. Total interest and other income (expense), net in 2024 primarily relates to interest earned on invested balances, resulting from the increase in the Company’s cash balance relating to capital raise activities.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jc w:val="left"/>
        <w:rPr>
          <w:caps w:val="false"/>
          <w:smallCaps w:val="false"/>
        </w:rPr>
      </w:pPr>
      <w:r>
        <w:rPr>
          <w:caps w:val="false"/>
          <w:smallCaps w:val="false"/>
        </w:rPr>
        <w:t> </w:t>
      </w:r>
    </w:p>
    <w:tbl>
      <w:tblPr>
        <w:tblW w:w="6095" w:type="dxa"/>
        <w:jc w:val="left"/>
        <w:tblInd w:w="0" w:type="dxa"/>
        <w:tblLayout w:type="fixed"/>
        <w:tblCellMar>
          <w:top w:w="0" w:type="dxa"/>
          <w:left w:w="0" w:type="dxa"/>
          <w:bottom w:w="0" w:type="dxa"/>
          <w:right w:w="0" w:type="dxa"/>
        </w:tblCellMar>
      </w:tblPr>
      <w:tblGrid>
        <w:gridCol w:w="3980"/>
        <w:gridCol w:w="60"/>
        <w:gridCol w:w="140"/>
        <w:gridCol w:w="755"/>
        <w:gridCol w:w="95"/>
        <w:gridCol w:w="60"/>
        <w:gridCol w:w="140"/>
        <w:gridCol w:w="755"/>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9,955</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$18.5 million for the year ended December 31, 2024. Cash used in operating activities was primarily due to the use of funds in our operations to develop our product candidates resulting in a net loss of $15.5 million, prior to the effects of two significant noncash items, stock-based compensation expense of $1.0 million and depreciation expense of $0.7 million. Changes in operating assets and liabilities included a decrease in trade accounts payable and accrued expenses of $4.5 million primarily due to the payment of vendor balances in the first quarter of 2024 with the cash proceeds from the issuance of common stock pursuant to our ATM Agreement in January 2024 and the issuance of equity in the February 2024 Offering.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$15.0 million for the year ended December 31, 2023. Cash used in operating activities was primarily due to the use of funds in our operations to develop our product candidates resulting in a net loss of $23.5 million, prior to the effects of two significant noncash items, stock-based compensation expense of $0.8 million and depreciation expense of $0.6 million. Changes in operating assets and liabilities included a decrease in prepaid expenses and other current assets of $1.8 million due to the recognition of expense relating to upfront deposits on clinical and manufacturing activity made at the start of the Phase 3 trials which were in process at December 31, 2023. In addition, there was an increase in trade accounts payable and accrued expenses of $5.2 million due to cash constraints and amounts due to vendors primarily relating to clinical development activity.</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both the years ended December 31, 2024 and December 31, 2023 was primarily related to the purchase of equipment to support our research and development.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the year ended December 31, 2024 was related to the cash proceeds from the issuance of common stock pursuant to the ATM Agreement, Lincoln Park Agreement, the February 2024 Offering and the June 2024 Warrant Inducement, as well as the issuance of the Promissory Note in December 2024.</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the year ended December 31, 2023 was related to the issuance of 47,073 shares of common stock in connection with various equity transactions, including the September 2023 Offering, WFIA Private Placement and usage of the ATM Agreement and Lincoln Park Agreement, as well as the increase in the principal balance of the WFIA Note in May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2012 through December 31, 2024, we have not generated any revenue and have incurred significant operating losses and negative cash flow from our operations.</w:t>
      </w:r>
    </w:p>
    <w:p>
      <w:pPr>
        <w:pStyle w:val="TextBody"/>
        <w:shd w:fill="FFFFFF" w:val="clear"/>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converted the remaining $3.0 million of principal under the WFIA Note plus all accrued interest thereon, or $3,287,500, into equity.</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received gross proceeds of approximately $7.5 million, before deducting $750,950 of placement agent’s fees and other offering expenses in the February 2024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received net proceeds of approximately $1.6 million from the closing of the June 2024 Warrant Inducement.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received net proceeds of $5,000,000 from the issuance of the Promissory Note pursuant to the Note Purchase Agreement.</w:t>
      </w:r>
    </w:p>
    <w:p>
      <w:pPr>
        <w:pStyle w:val="TextBody"/>
        <w:bidi w:val="0"/>
        <w:ind w:left="0" w:right="0" w:firstLine="720"/>
        <w:jc w:val="left"/>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we sold 983,093 shares of common stock under the ATM Agreement, for net proceeds of $9,393,550, after deducting $298,498 of compensation to HCW and other administration fees. Subsequent to December 31, 2024, we sold 142,685 shares of common stock under the ATM Agreement, for net proceeds of $776,091, after deducting $25,756 of compensation to HCW and other administration fees. As of March 27, 2025, the aggregate offering price of shares of common stock available for issuance under the ATM Agreement was approximately $7.4 million.</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we sold 1,472,363 shares of common stock under the Lincoln Park Agreement for net proceeds of $8,037,501. Subsequent to December 31, 2024, we sold 223,409 shares of common stock under the Lincoln Park Purchase Agreement, for net proceeds of 899,989. As of March 27, 2025, the aggregate offering price of shares of common stock available for issuance under the Lincoln Park Agreement was approximately $2.6 million.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cash and cash equivalents of $12.2 million. We believe our cash will satisfy our capital needs into the fourth quarter of 2025 under our current business plan. We are targeting to file our NDA submission for CTx-1301 in mid-2025. We will need additional capital to advance our commercialization efforts for CTx-1301 as well as our other programs. Changing circumstances may cause us to expend cash significantly faster than we currently anticipate, and we may need to spend more cash than currently expected because of circumstances beyond our control. Our policy is to invest any cash in excess of our immediate requirements in investments designed to preserve the principal balance and provide liquidity while producing a modest return on investment. Accordingly, our cash equivalents are invested primarily in money market funds which are currently providing only a minimal return given the current interest rate environment.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substantial additional operating losses for the near term as we continue to develop our product candidates, primarily CTx-1301,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use of operating cash and capital requirements will depend on many forward-looking factors, including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manufacturing the clinical supply of our product candidates;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initiation, progress, timing, costs and results of clinical trials for our product candidates;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clinical development plans we establish for each product candidate;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characteristics of product candidates that we develop or may in-license;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collaboration or license agreements we may choose to execute;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timing and cost of meeting regulatory requirements established by the FDA or other comparable foreign regulatory authorities;</w:t>
            </w:r>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filing, prosecuting, defending and enforcing our patent claims and other intellectual property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defending intellectual property disputes, including patent infringement actions brought by third parties against 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the implementation of commercial scale manufacturing activities;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outsourcing our commercialization efforts, including, sales, marketing and distribution capabilities for any product candidates for which we may receive regulatory approval in regions where we choose to commercialize our products.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continue to grow our business over the longer term, we plan to commit substantial resources to research and development, including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are actively seeking a strategic pharmaceutical partnership under which we would license CTx-1301 in the United States, internationally, or both. In March 2023, we entered into the Commercialization Agreement with Indegene. Should we be unable to identify an appropriate pharmaceutical partnership, if we receive FDA approval for CTx-1301, Indegene would provide commercialization services for CTx-1301, including marketing, sales, market access and distribution, on a fee for service basis.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pursuant to the Note Purchase Agreement, we are subject to certain restrictions on our ability to issue securities during the term of the Note. Specifically, we have agreed, among other things, to obtain Lender’s consent prior to issuing any debt securities or certain equity securities where the pricing of such equity securities is tied to the public trading price of our common stock and to refrain from entering into any agreement or covenant that locks up, restricts or otherwise prohibits us from entering into a variable rate transaction with Lender or any of its affiliates, or from issuing common stock or other equity or debt securities to Lender or any of its affiliates. If we are unable to obtain Lender’s consent prior to issuing any debt or certain equity securities, such issuance may be a breach of the Note Purchase Agreement, and we may be obligated to indemnify Lender for loss or damage arising as a result of any breach or alleged breach by us of the Note Purchase Agreement, which may affect our business operations and financial condition. Additionally, the Note provides that following an event of default under the Note, Lender has the right to seek and receive injunctive relief from a court or an arbitrator prohibiting us from issuing any of our common stock or preferred stock to any party unless fifty percent of the gross proceeds received by us in connection with such issuance are simultaneously used to make a payment under the Note. Lender also has the right to seek and receive injunctive relief from a court or arbitrator to prevent the consummation of any fundamental transaction, as defined in the Note, unless it contains a closing condition that the Note is paid in full upon consummation of the transaction or Lender has provided its written consent to such transaction.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contractual obligations as of December 31, 2024 that will affect our future liquidity.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patent and know-how licensing agreement with BDD Pharma Limited in August 2018. See “Item 1. Business – Material Agreements” for a description of this agreement. We are required to pay BDD Pharma certain amounts in connection with clinical trial and regulatory milestones. The first milestone payment of $250,000 became due in February 2022 upon dosing of the first patient in the Phase 3 adult onset and duration study for CTx-1301. Additional payments will become due upon completion of certain milestones as defined in the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agreements with vendors to complete the data consolidation and analysis for the two CTx-1301 Phase 3 clinical studies in pediatric and adolescent patients for which we closed enrollment in early 2024 based on FDA guidance regarding our clinical program. Total estimated cost of these agreements is $2.7 million, of which $1.1 million was incurred in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that is largely dependent on the services of our employees and consultants. Further, our future operations are dependent on the success of our efforts to raise additional capital. These uncertainties raise substantial doubt about our ability to continue as a going concern for one year after the issuance date of our financial statements. The accompanying consolidated financial statements have been prepared on a going concern basis. The consolidated financial statements do not include any adjustments to reflect the possible future effects on the recoverability and classification of assets or the amounts and classification of liabilities that may result from the possible inability of the company to continue as a going concern, which contemplates the continuation of operations, realization of assets and liquidation of liabilities in the ordinary course of business. We have incurred a net loss for the years ended December 31, 2024 and 2023 and had accumulated losses of $108.5 million since inception to December 31, 2024. We anticipate incurring additional losses until such time, if ever, that we can generate significant revenue from our product candidates currently in development. Our sources of capital have included private capital raises in various classes of units of CTx prior to the Reorganization Merger, the issuance of equity securities in connection with our initial public offering (IPO), public offerings, including the September 2023 Offering and the February 2024 Offering, sales of common stock under our ATM Agreement and Lincoln Park Agreement, a private placement with WFIA, the WFIA Note, which was subsequently converted to equity, the June 2024 Warrant Inducement and the issuance of the Promissory Note in December 2024. Additional financings will be needed by us to fund our operations, to complete development of and to commercially develop CTx-1301 and our other product candidates. There is no assurance that such financing will be available when needed or on acceptable terms.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2012, the Jumpstart Our Business Startups Act of 2012, or the JOBS Act, was signed into law. The JOBS Act contains provisions that, among other things, reduce certain reporting requirements for an “emerging growth company”. As an “emerging growth company,” we are electing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emerging growth companies.</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set forth in the JOBS Act, 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the fifth anniversary of the completion of our IPO or until we no longer meet the requirements for being an “emerging growth company,” whichever occurs first.</w:t>
      </w:r>
    </w:p>
    <w:p>
      <w:pPr>
        <w:pStyle w:val="TextBody"/>
        <w:bidi w:val="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890"/>
        <w:gridCol w:w="6980"/>
      </w:tblGrid>
      <w:tr>
        <w:trPr/>
        <w:tc>
          <w:tcPr>
            <w:tcW w:w="890" w:type="dxa"/>
            <w:tcBorders/>
            <w:vAlign w:val="center"/>
          </w:tcPr>
          <w:p>
            <w:pPr>
              <w:pStyle w:val="TableContents"/>
              <w:bidi w:val="0"/>
              <w:spacing w:before="0" w:after="283"/>
              <w:jc w:val="left"/>
              <w:rPr>
                <w:rFonts w:ascii="Times New Roman;Times;Serif" w:hAnsi="Times New Roman;Times;Serif"/>
                <w:b/>
                <w:sz w:val="20"/>
              </w:rPr>
            </w:pPr>
            <w:bookmarkStart w:id="63" w:name="m_009"/>
            <w:bookmarkEnd w:id="63"/>
            <w:r>
              <w:rPr>
                <w:rFonts w:ascii="Times New Roman;Times;Serif" w:hAnsi="Times New Roman;Times;Serif"/>
                <w:b/>
                <w:sz w:val="20"/>
              </w:rPr>
              <w:t>ITEM 7A.</w:t>
            </w:r>
          </w:p>
        </w:tc>
        <w:tc>
          <w:tcPr>
            <w:tcW w:w="6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5"/>
        <w:gridCol w:w="5315"/>
      </w:tblGrid>
      <w:tr>
        <w:trPr/>
        <w:tc>
          <w:tcPr>
            <w:tcW w:w="755" w:type="dxa"/>
            <w:tcBorders/>
            <w:vAlign w:val="center"/>
          </w:tcPr>
          <w:p>
            <w:pPr>
              <w:pStyle w:val="TableContents"/>
              <w:bidi w:val="0"/>
              <w:spacing w:before="0" w:after="283"/>
              <w:jc w:val="left"/>
              <w:rPr>
                <w:rFonts w:ascii="Times New Roman;Times;Serif" w:hAnsi="Times New Roman;Times;Serif"/>
                <w:b/>
                <w:sz w:val="20"/>
              </w:rPr>
            </w:pPr>
            <w:bookmarkStart w:id="64" w:name="m_010"/>
            <w:bookmarkEnd w:id="64"/>
            <w:r>
              <w:rPr>
                <w:rFonts w:ascii="Times New Roman;Times;Serif" w:hAnsi="Times New Roman;Times;Serif"/>
                <w:b/>
                <w:sz w:val="20"/>
              </w:rPr>
              <w:t>ITEM 8.</w:t>
            </w:r>
          </w:p>
        </w:tc>
        <w:tc>
          <w:tcPr>
            <w:tcW w:w="53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SUPPLEMENTARY DATA</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together with the report of our independent registered public accounting firm, appear at pages F-1 through F-24 of this annual report.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
        <w:gridCol w:w="9465"/>
      </w:tblGrid>
      <w:tr>
        <w:trPr/>
        <w:tc>
          <w:tcPr>
            <w:tcW w:w="740" w:type="dxa"/>
            <w:tcBorders/>
            <w:vAlign w:val="center"/>
          </w:tcPr>
          <w:p>
            <w:pPr>
              <w:pStyle w:val="TableContents"/>
              <w:bidi w:val="0"/>
              <w:spacing w:before="0" w:after="283"/>
              <w:jc w:val="left"/>
              <w:rPr>
                <w:rFonts w:ascii="Times New Roman;Times;Serif" w:hAnsi="Times New Roman;Times;Serif"/>
                <w:b/>
                <w:sz w:val="20"/>
              </w:rPr>
            </w:pPr>
            <w:bookmarkStart w:id="65" w:name="m_011"/>
            <w:bookmarkEnd w:id="65"/>
            <w:r>
              <w:rPr>
                <w:rFonts w:ascii="Times New Roman;Times;Serif" w:hAnsi="Times New Roman;Times;Serif"/>
                <w:b/>
                <w:sz w:val="20"/>
              </w:rPr>
              <w:t>ITEM 9.</w:t>
            </w:r>
          </w:p>
        </w:tc>
        <w:tc>
          <w:tcPr>
            <w:tcW w:w="9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ind w:left="0" w:right="0" w:firstLine="72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890"/>
        <w:gridCol w:w="2930"/>
      </w:tblGrid>
      <w:tr>
        <w:trPr/>
        <w:tc>
          <w:tcPr>
            <w:tcW w:w="890" w:type="dxa"/>
            <w:tcBorders/>
            <w:vAlign w:val="center"/>
          </w:tcPr>
          <w:p>
            <w:pPr>
              <w:pStyle w:val="TableContents"/>
              <w:bidi w:val="0"/>
              <w:spacing w:before="0" w:after="283"/>
              <w:jc w:val="left"/>
              <w:rPr>
                <w:rFonts w:ascii="Times New Roman;Times;Serif" w:hAnsi="Times New Roman;Times;Serif"/>
                <w:b/>
                <w:sz w:val="20"/>
              </w:rPr>
            </w:pPr>
            <w:bookmarkStart w:id="66" w:name="m_012"/>
            <w:bookmarkEnd w:id="66"/>
            <w:r>
              <w:rPr>
                <w:rFonts w:ascii="Times New Roman;Times;Serif" w:hAnsi="Times New Roman;Times;Serif"/>
                <w:b/>
                <w:sz w:val="20"/>
              </w:rPr>
              <w:t>ITEM 9A.</w:t>
            </w:r>
          </w:p>
        </w:tc>
        <w:tc>
          <w:tcPr>
            <w:tcW w:w="2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disclosure controls and procedures that is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the our management, including our Chief Executive Officer (principal executive officer and principal financial officer as of December 31, 2024), as appropriate, to allow timely decisions regarding required disclosure. A control system, no matter how well conceived and operated, can provide only reasonable, not absolute, assurance that the objectives of the control system are met. Our Chief Executive Officer, after evaluating the effectiveness of our disclosure controls and procedures (as defined in Rule 13a-15(e) and 15d-15(e) of the Exchange Act) as of December 31, 2024, has concluded that our disclosure controls and procedures were effective as of December 31, 2024.</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is responsible for establishing and maintaining adequate internal control over financial reporting, as defined in Rule 13a-15(f) of the Exchange Act. Our management conducted an evaluation of the effectiveness of our internal control over financial reporting based on the framework in </w:t>
      </w:r>
      <w:r>
        <w:rPr>
          <w:rFonts w:ascii="Times New Roman;Times;Serif" w:hAnsi="Times New Roman;Times;Serif"/>
          <w:b w:val="false"/>
          <w:i/>
          <w:caps w:val="false"/>
          <w:smallCaps w:val="false"/>
          <w:sz w:val="20"/>
        </w:rPr>
        <w:t>Internal Control</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Integrated Framework</w:t>
      </w:r>
      <w:r>
        <w:rPr>
          <w:rFonts w:ascii="Times New Roman;Times;Serif" w:hAnsi="Times New Roman;Times;Serif"/>
          <w:b w:val="false"/>
          <w:i w:val="false"/>
          <w:caps w:val="false"/>
          <w:smallCaps w:val="false"/>
          <w:sz w:val="20"/>
        </w:rPr>
        <w:t xml:space="preserve"> (2013) issued by the Committee of Sponsoring Organizations of the Treadway Commission. Based on the results of this evaluation, management has concluded that the Company’s internal control over financial reporting was effective at the reasonable assurance level as of December 31, 2024.</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that occurred during the fiscal year ended December 31, 2024 that have materially affected, or are reasonably likely to materially affect, our internal control over financial reporting.</w:t>
      </w:r>
    </w:p>
    <w:p>
      <w:pPr>
        <w:pStyle w:val="TextBody"/>
        <w:bidi w:val="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890"/>
        <w:gridCol w:w="2210"/>
      </w:tblGrid>
      <w:tr>
        <w:trPr/>
        <w:tc>
          <w:tcPr>
            <w:tcW w:w="890" w:type="dxa"/>
            <w:tcBorders/>
            <w:vAlign w:val="center"/>
          </w:tcPr>
          <w:p>
            <w:pPr>
              <w:pStyle w:val="TableContents"/>
              <w:bidi w:val="0"/>
              <w:spacing w:before="0" w:after="283"/>
              <w:jc w:val="both"/>
              <w:rPr>
                <w:rFonts w:ascii="Times New Roman;Times;Serif" w:hAnsi="Times New Roman;Times;Serif"/>
                <w:b/>
                <w:sz w:val="20"/>
              </w:rPr>
            </w:pPr>
            <w:bookmarkStart w:id="67" w:name="m_013"/>
            <w:bookmarkEnd w:id="67"/>
            <w:r>
              <w:rPr>
                <w:rFonts w:ascii="Times New Roman;Times;Serif" w:hAnsi="Times New Roman;Times;Serif"/>
                <w:b/>
                <w:sz w:val="20"/>
              </w:rPr>
              <w:t>ITEM 9B.</w:t>
            </w:r>
          </w:p>
        </w:tc>
        <w:tc>
          <w:tcPr>
            <w:tcW w:w="22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fourth quarter of 2024, no director or officer (as defined in Exchange Act Rule 16a-1(f)) of the Company </w:t>
      </w:r>
      <w:bookmarkStart w:id="68" w:name="xdx_905_eecd--NonRule10b51ArrAdoptedFlag"/>
      <w:bookmarkStart w:id="69" w:name="xdx_907_eecd--Rule10b51ArrAdoptedFlag_db"/>
      <w:bookmarkEnd w:id="68"/>
      <w:bookmarkEnd w:id="69"/>
      <w:r>
        <w:rPr>
          <w:rFonts w:ascii="Times New Roman;Times;Serif" w:hAnsi="Times New Roman;Times;Serif"/>
          <w:b w:val="false"/>
          <w:i w:val="false"/>
          <w:caps w:val="false"/>
          <w:smallCaps w:val="false"/>
          <w:sz w:val="20"/>
        </w:rPr>
        <w:t xml:space="preserve">adopted or </w:t>
      </w:r>
      <w:bookmarkStart w:id="70" w:name="xdx_90D_eecd--NonRule10b51ArrTrmntdFlag_"/>
      <w:bookmarkStart w:id="71" w:name="xdx_903_eecd--Rule10b51ArrTrmntdFlag_dbF"/>
      <w:bookmarkEnd w:id="70"/>
      <w:bookmarkEnd w:id="71"/>
      <w:r>
        <w:rPr>
          <w:rFonts w:ascii="Times New Roman;Times;Serif" w:hAnsi="Times New Roman;Times;Serif"/>
          <w:b w:val="false"/>
          <w:i w:val="false"/>
          <w:caps w:val="false"/>
          <w:smallCaps w:val="false"/>
          <w:sz w:val="20"/>
        </w:rPr>
        <w:t>terminated a Rule 10b5-1 trading arrangement or non-Rule 10b5-1 trading arrangement for the purchase or sale of securities of the Company, within the meaning of Item 408 of Regulation S-K.</w:t>
      </w:r>
    </w:p>
    <w:p>
      <w:pPr>
        <w:pStyle w:val="TextBody"/>
        <w:bidi w:val="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890"/>
        <w:gridCol w:w="7925"/>
      </w:tblGrid>
      <w:tr>
        <w:trPr/>
        <w:tc>
          <w:tcPr>
            <w:tcW w:w="890" w:type="dxa"/>
            <w:tcBorders/>
            <w:vAlign w:val="center"/>
          </w:tcPr>
          <w:p>
            <w:pPr>
              <w:pStyle w:val="TableContents"/>
              <w:bidi w:val="0"/>
              <w:spacing w:before="0" w:after="283"/>
              <w:jc w:val="left"/>
              <w:rPr>
                <w:rFonts w:ascii="Times New Roman;Times;Serif" w:hAnsi="Times New Roman;Times;Serif"/>
                <w:b/>
                <w:sz w:val="20"/>
              </w:rPr>
            </w:pPr>
            <w:bookmarkStart w:id="72" w:name="m_014"/>
            <w:bookmarkEnd w:id="72"/>
            <w:r>
              <w:rPr>
                <w:rFonts w:ascii="Times New Roman;Times;Serif" w:hAnsi="Times New Roman;Times;Serif"/>
                <w:b/>
                <w:sz w:val="20"/>
              </w:rPr>
              <w:t>ITEM 9C.</w:t>
            </w:r>
          </w:p>
        </w:tc>
        <w:tc>
          <w:tcPr>
            <w:tcW w:w="79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DISCLOSURE REGARDING FOREIGN JURISDICTIONS THAT PREVENT INSPECTIONS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3" w:name="m_015"/>
      <w:bookmarkEnd w:id="73"/>
      <w:r>
        <w:rPr>
          <w:rFonts w:ascii="Times New Roman;Times;Serif" w:hAnsi="Times New Roman;Times;Serif"/>
          <w:b/>
          <w:i w:val="false"/>
          <w:caps w:val="false"/>
          <w:smallCaps w:val="false"/>
          <w:sz w:val="20"/>
        </w:rPr>
        <w:t>PART III</w:t>
      </w:r>
    </w:p>
    <w:p>
      <w:pPr>
        <w:pStyle w:val="TextBody"/>
        <w:bidi w:val="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860"/>
        <w:gridCol w:w="6590"/>
      </w:tblGrid>
      <w:tr>
        <w:trPr/>
        <w:tc>
          <w:tcPr>
            <w:tcW w:w="860" w:type="dxa"/>
            <w:tcBorders/>
            <w:vAlign w:val="center"/>
          </w:tcPr>
          <w:p>
            <w:pPr>
              <w:pStyle w:val="TableContents"/>
              <w:bidi w:val="0"/>
              <w:spacing w:before="0" w:after="283"/>
              <w:jc w:val="left"/>
              <w:rPr>
                <w:rFonts w:ascii="Times New Roman;Times;Serif" w:hAnsi="Times New Roman;Times;Serif"/>
                <w:b/>
                <w:sz w:val="20"/>
              </w:rPr>
            </w:pPr>
            <w:bookmarkStart w:id="74" w:name="m_016"/>
            <w:bookmarkEnd w:id="74"/>
            <w:r>
              <w:rPr>
                <w:rFonts w:ascii="Times New Roman;Times;Serif" w:hAnsi="Times New Roman;Times;Serif"/>
                <w:b/>
                <w:sz w:val="20"/>
              </w:rPr>
              <w:t>ITEM 10.</w:t>
            </w:r>
          </w:p>
        </w:tc>
        <w:tc>
          <w:tcPr>
            <w:tcW w:w="65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EXECUTIVE OFFICERS AND CORPORATE GOVERNANCE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directors with their respective ages as of March 21, 2025:</w:t>
      </w:r>
    </w:p>
    <w:p>
      <w:pPr>
        <w:pStyle w:val="TextBody"/>
        <w:bidi w:val="0"/>
        <w:ind w:left="0" w:right="0" w:firstLine="72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2135"/>
        <w:gridCol w:w="60"/>
        <w:gridCol w:w="350"/>
        <w:gridCol w:w="60"/>
        <w:gridCol w:w="4370"/>
      </w:tblGrid>
      <w:tr>
        <w:trPr/>
        <w:tc>
          <w:tcPr>
            <w:tcW w:w="21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43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370"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70"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Shane J. Schaffer, PharmD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the Board</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 Callahan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2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Laurie A. Myers,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Operating Officer</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Raul R. Silva,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Science Officer</w:t>
            </w:r>
          </w:p>
        </w:tc>
      </w:tr>
      <w:tr>
        <w:trPr/>
        <w:tc>
          <w:tcPr>
            <w:tcW w:w="2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Brams,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Medical Officer</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70"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S. Ervin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Lawrence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A. Roberts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1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J. Werth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Shane J. Schaffer, PharmD </w:t>
      </w:r>
      <w:r>
        <w:rPr>
          <w:rFonts w:ascii="Times New Roman;Times;Serif" w:hAnsi="Times New Roman;Times;Serif"/>
          <w:b w:val="false"/>
          <w:i w:val="false"/>
          <w:caps w:val="false"/>
          <w:smallCaps w:val="false"/>
          <w:sz w:val="20"/>
        </w:rPr>
        <w:t>co-founded Cingulate in 2012 and has since served as our Chief Executive Officer and Chairman of our Board. Prior to his work at Cingulate, Dr. Schaffer served as the Managing Director of Sabre Scientific Solutions, from July 2009 through December 2012. Previously, Dr. Schaffer worked as a Director of National Accounts at Pri-Med Access from September 2008 through May 2009, Senior Marketing at Sanofi from February 2004 through December 2007, and as a Marketing Manager at Novartis from June 2001 through October 2003. From July 1999 through June 2001, he served as Chief Fellow of the Rutgers Pharmaceutical Industry Fellowship Program and was Senior Fellow at Warner Lambert/Parke Davis and Pfizer. From June 1997 to July 1999, he worked as a clinical research associate at Hoechst Marion Roussel. Dr. Schaffer has over 25 years’ experience in drug development, commercialization and biotech commercial operation. Dr. Schaffer received his Doctor of Pharmacy from The University of Kansas School of Pharmacy. We believe that Dr. Schaffer’s extensive knowledge of the pharmaceutical industry, his clinical and commercial background in a wide range of therapeutic areas, and his experience serving as our Chief Executive Officer, qualifies him to serve on our Board.</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Jennifer L. Callahan</w:t>
      </w:r>
      <w:r>
        <w:rPr>
          <w:rFonts w:ascii="Times New Roman;Times;Serif" w:hAnsi="Times New Roman;Times;Serif"/>
          <w:b w:val="false"/>
          <w:i w:val="false"/>
          <w:caps w:val="false"/>
          <w:smallCaps w:val="false"/>
          <w:sz w:val="20"/>
        </w:rPr>
        <w:t xml:space="preserve"> has served as our Senior Vice President and Chief Financial Officer since January 2024. She has served the Company in an accounting role since January 2017 and was appointed as our Vice President, Corporate Controller in January 2019. Prior to her role at the Company, Ms. Callahan served as the Director of Accounting for Meridian Business Services, a local Kansas City accounting firm since 2014 where she provided outsourced controller services to various businesses, including start-up companies and companies in need of process improvements. Over the tenure of her career, Ms. Callahan has provided consulting services to companies in a variety of industries and stages. She started her career with Deloitte where she served in various roles in the audit practice from June 1992 to December 1998. Ms. Callahan holds a CPA designation and received a BSBA in Accounting and Finance from Creighton University.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Laurie A. Myers, PhD, MBA </w:t>
      </w:r>
      <w:r>
        <w:rPr>
          <w:rFonts w:ascii="Times New Roman;Times;Serif" w:hAnsi="Times New Roman;Times;Serif"/>
          <w:b w:val="false"/>
          <w:i w:val="false"/>
          <w:caps w:val="false"/>
          <w:smallCaps w:val="false"/>
          <w:sz w:val="20"/>
        </w:rPr>
        <w:t>has served as our Executive Vice President and Chief Operating Officer since April 2018 and previously served as a member of our Board from June 2013 through April 2018 and as our Senior Vice President of Operations from November 2017 to April 2018. Dr. Myers also serves as a Member of the Board of Advisors of Linea System, LLC, a position she has held since September 2020. Dr. Myers previously served as the Head of Marketing of Fidia Pharma USA Inc., a wholly owned subsidiary of Fidia Farmaceutici from September 2014 through November 2017. Dr. Myers was an Adjunct Professor at the College of New Jersey School of Business from January 2012 through December 2014, and served as President and a Member of the Board of the Hallett David Strategic Group from January 2010 through September 2014. Dr. Myers received her Doctor of Philosophy in Toxicology from Rutgers Medical School and Rutgers School of Pharmacy, her Masters in Business Administration from St. Joseph’s University and her Master of Science and Bachelor of Science from the University of Scranton.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Raul R. Silva, MD </w:t>
      </w:r>
      <w:r>
        <w:rPr>
          <w:rFonts w:ascii="Times New Roman;Times;Serif" w:hAnsi="Times New Roman;Times;Serif"/>
          <w:b w:val="false"/>
          <w:i w:val="false"/>
          <w:caps w:val="false"/>
          <w:smallCaps w:val="false"/>
          <w:sz w:val="20"/>
        </w:rPr>
        <w:t>co-founded Cingulate in 2012 and has served as our Executive Vice President and Chief Science Officer since January 2018. He has been in private practice since 2009. Previously, Dr. Silva served as Executive Director of Rockland Children’s Psychiatric Center from 2006-2009. He also served as Vice Chairman of The New York University Child Study Center 2005 through 2009. Dr. Silva served as Deputy Director of Child Psychiatry at Bellevue Hospital Center from 1999 through 2006. Prior to that, he was Director of Child and Adolescent Psychiatry at St. Luke’s/Roosevelt Hospital in New York City from 1995 through 1990. He completed his fellowship in child and adolescent psychiatry at Columbia University’s St. Luke’s/Roosevelt Hospital Center in 1990 Dr. Silva completed a psychopharmacology research fellowship at New York University Medical Center. Dr. Silva is board certified in general, child and adolescent psychiatry. Dr. Silva received his Doctor of Medicine degree from Ross University and his Bachelor of Science in Biology from Fairleigh Dickinson University.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Matthew N. Brams, MD</w:t>
      </w:r>
      <w:r>
        <w:rPr>
          <w:rFonts w:ascii="Times New Roman;Times;Serif" w:hAnsi="Times New Roman;Times;Serif"/>
          <w:b w:val="false"/>
          <w:i w:val="false"/>
          <w:caps w:val="false"/>
          <w:smallCaps w:val="false"/>
          <w:sz w:val="20"/>
        </w:rPr>
        <w:t xml:space="preserve"> co-founded Cingulate in 2012 and has served as our Executive Vice President and Chief Medical Officer since January 2018 and served as a director of Cingulate from January 2018 through July 2021. Dr. Brams served as a Principal of Bayou City Research, a position he held from April 1999 to January 2021. Prior to that, he served as a consultant medical director and/or admitting Psychiatrist at numerous medical facilities including Taylor Recover Center (April 2019 to present); Lakeview Health Rehabilitation Center (2018-2019); The Parc, Houston Tx (2012-2015); GeroPsych Unit Gulf Coast Hospital (2009-Present). Dr. Brams has been integral to the research teams for all the major pharmaceutical companies participating in the ADHD clinical arena. Dr. Brams completed residency and fellowship at Baylor College of Medicine in adult and child psychiatry, respectively. He is board certified in Adult and Child Psychiatry (1994) and is an acting Senior Board Examiner for the American Board of Psychiatry and Neurology. He received his Doctor of Medicine from The University of Texas Science Center and his Bachelor of Arts in Biology from the University of Texas.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Jeffrey S. Ervin</w:t>
      </w:r>
      <w:r>
        <w:rPr>
          <w:rFonts w:ascii="Times New Roman;Times;Serif" w:hAnsi="Times New Roman;Times;Serif"/>
          <w:b w:val="false"/>
          <w:i w:val="false"/>
          <w:caps w:val="false"/>
          <w:smallCaps w:val="false"/>
          <w:sz w:val="20"/>
        </w:rPr>
        <w:t xml:space="preserve"> has served on our Board since February 2024. Mr. Ervin is currently CEO of Sanaregen Vision Therapeutics, Inc., a biotech company focused on unmet needs for vision loss, since February 2025.  From June 2024 to January 2025, Mr. Ervin served as Co-Chief Financial Officer of DDC Enterprises, Inc. (NYSE: DDC), a food innovator promoting healthier lifestyle choices.  He co-founded IMAC Holdings, Inc. (NASDAQ: BACK), a provider of medical care, in March 2015, and served as its Chairman of the board and Chief Executive Officer until May 2024. From October 2011 to January 2015, Mr. Ervin joined Medicare.com parent, Medx Publishing, as a senior financial officer tasked with building administrative functions to satisfy rapid growth in the CMS education sector. Prior to that, Mr. Ervin was the Senior Financial Analyst and Vice President of Finance for the Baptist Hospital System of Nashville from June 2005 to October 2011, responsible for sourcing and managing direct investments to satisfy pension obligations. Mr. Ervin earned his Master of Business Administration from Vanderbilt University and his Bachelor of Science in Finance from Miami University. We believe that Mr. Ervin’s extensive experience in the healthcare industry, as well as his experience as an executive of a public company qualifies him to serve on our Board.</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Bryan Lawrence</w:t>
      </w:r>
      <w:r>
        <w:rPr>
          <w:rFonts w:ascii="Times New Roman;Times;Serif" w:hAnsi="Times New Roman;Times;Serif"/>
          <w:b w:val="false"/>
          <w:i w:val="false"/>
          <w:caps w:val="false"/>
          <w:smallCaps w:val="false"/>
          <w:sz w:val="20"/>
        </w:rPr>
        <w:t xml:space="preserve"> has served on our Board since February 2024. Mr. Lawrence has been an entrepreneur and philanthropist since October 2007. Mr. Lawrence has previously held positions at Xcenda, a division of AmerisourceBergen, Johnson &amp; Johnson Health Care Systems, Janssen Pharmaceutica and Sandoz Pharmaceuticals Corporation. Mr. Lawrence also has experience in healthcare consulting and has held roles at Navigant Consulting and Applied Health Outcome. Mr. Lawrence is currently a member of the University of Kansas School of Pharmacy Advisory Council. He did a two-year Pharmacoeconomics Fellowship from Glaxo Inc. and the University of South Carolina. Mr. Lawrence earned a Doctor of Pharmacy from University of Kansas School of Pharmacy and a Master of Business Administration from the Wharton School at the University of Pennsylvania. We believe that Mr. Lawrence’s extensive experience in the life sciences and healthcare industries qualifies him to serve on our Board.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John A. Roberts</w:t>
      </w:r>
      <w:r>
        <w:rPr>
          <w:rFonts w:ascii="Times New Roman;Times;Serif" w:hAnsi="Times New Roman;Times;Serif"/>
          <w:b w:val="false"/>
          <w:i w:val="false"/>
          <w:caps w:val="false"/>
          <w:smallCaps w:val="false"/>
          <w:sz w:val="20"/>
        </w:rPr>
        <w:t xml:space="preserve"> has served on our Board since February 2024. Mr. Roberts is currently serving as a Partner with the international life science venture catalyst firm Ventac Partners since July 2024 and also a Venture Partner for DigiLife Fund II, a position he has held since September 2023. From April 2018 to February 2023, he served as Chief Executive Officer and President of Vyant Bio, Inc., a biotechnology company formerly listed on Nasdaq. Prior to that, Mr. Roberts had been the interim Chief Executive Officer of Vyant Bio, Inc. since February 2018. Mr. Roberts had previously served as Vyant Bio, Inc.’s Chief Operating Officer since July 2016. From July 2015 to June 2016, Mr. Roberts served as the Chief Financial Officer for VirMedica, Inc., a company that provides an end-to-end platform that enables specialty drug manufacturers and pharmacies to optimize product commercialization and management. Prior to VirMedica, from August 2011 to July 2015, Mr. Roberts was the Chief Financial and Administrative Officer for AdvantEdge Healthcare Solutions, a global healthcare analytics and services organization. Prior to that, Mr. Roberts was the Chief Financial Officer and Treasurer for InfoLogix, Inc., a publicly-traded healthcare-centric mobile software and solutions provider. He has also held CFO roles at leading public medical device and healthcare services firms including Clarient, Inc., a publicly-traded provider of diagnostic laboratory services and Daou Systems, Inc., a publicly-traded healthcare IT software development and services firm. In addition, he has held senior executive roles with MEDecision, Inc., HealthOnline, Inc. and the Center for Health Information. Mr. Roberts currently serves on the board of directors of Vyant Bio, Inc., Caidya, Inc., a global, multi-therapeutic clinical research organization, Navipoint Health, Inc., a biotechnology company, and VeriSkin, Inc., a medical device company. He also is a member of the Fellows of the Drug Information Association, a global neutral forum enabling drug developers and regulators access to education and collaboration. Mr. Roberts earned a Bachelor of Science and a master’s degree in business administration from the University of Maine. We believe that Mr. Robert’s extensive experience in the healthcare industry, as well as his experience as an executive of public companies qualifies him to serve on our Board.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Peter J. Werth </w:t>
      </w:r>
      <w:r>
        <w:rPr>
          <w:rFonts w:ascii="Times New Roman;Times;Serif" w:hAnsi="Times New Roman;Times;Serif"/>
          <w:b w:val="false"/>
          <w:i w:val="false"/>
          <w:caps w:val="false"/>
          <w:smallCaps w:val="false"/>
          <w:sz w:val="20"/>
        </w:rPr>
        <w:t>has served on our Board since June 2018. Mr. Werth founded ChemWerth Inc., a full-service generic drug development and supply company providing active pharmaceutical ingredients to regulated markets worldwide, in 1982 and served as its President and CEO until June 2024. Mr. Werth continues to serve as Chairman of the Board of ChemWerth Inc. Mr. Werth previously served as Vice President at Ganes Chemicals, a subsidiary of Siegfried Chemicals, from March 1975 through May 1982. From 1965 through 1975, Mr. Werth worked in Research and Development for Upjohn Pharmaceuticals, now Pfizer (NYSE: PFE). In addition to serving on the Board of Cingulate, Mr. Werth has served on the Board of Directors of VM Pharma LLC since December 2010, VM Therapeutics LLC since May 2012, VM Oncology LLC since August 2014, Perseus Science Group LLC since January 2015, Likarda LLC since August 2017, Techtona LLC since September 2017, MedRhythms LLC since June 2018 and Bastion Healthcare LLC since September 2020. He earned his Master of Science in Organic Chemistry from Stanford University and his Bachelor of Science in Chemistry and Math from Fort Hays State University. We believe that Mr. Werth’s extensive experience in the life sciences industry and his knowledge in business and international markets qualifies him to serve on our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Code of Business Conduct and Ethics (the “Code of Conduct”) that applies to our employees, officers and directors. A copy of the Code of Conduct is posted on the Corporate Governance section of the Investor Relations page of our website, which is located at www.cingulate.com/investors. We intend to disclose future amendments to certain provisions of the Code of Conduct, or waivers of such provisions applicable to any principal executive officer, principal financial officer, principal accounting officer or controller, or persons performing similar functions, and our directors, on our website identified above or in future filings with the SEC.</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members. Our directors hold office until their successors have been elected and qualified or until the earlier of their resignation or removal.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our amended and restated certificate of incorporation and bylaws, our Board is divided into three classes, class I, class II and class III, with each class serving staggered three-year terms. Upon the expiration of the term of a class of directors, directors in that class will be eligible to be elected for a new three-year term at the annual meeting of stockholders in the year in which their term expires. Our directors are divided among the three classes as follows:</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 director is Peter J. Werth; his term will expire at the annual meeting of stockholders to be held in 2025.</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II directors are Jeffrey S. Ervin and John A. Roberts; their terms will expire at the annual meeting of stockholders to be held in 2026.</w:t>
            </w:r>
          </w:p>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III directors are Shane J. Schaffer and Bryan Lawrence; their terms will expire at the annual meeting of stockholders to be held in 2027.</w:t>
            </w:r>
          </w:p>
        </w:tc>
      </w:tr>
    </w:tbl>
    <w:p>
      <w:pPr>
        <w:pStyle w:val="TextBody"/>
        <w:bidi w:val="0"/>
        <w:ind w:left="108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the authorized number of directors may be changed only by resolution of our Board. Our amended and restated certificate of incorporation and amended and restated bylaws also provide that our directors may be removed only for cause, and that any vacancy on our Board, including a vacancy resulting from an enlargement of our Board, may be filled only by vote of a majority of our directors then in office.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with regard to the consideration of diversity in identifying director nominees.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and Audit Committee Financial Expert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Messrs. Ervin, Lawrence and Roberts, with Mr. Roberts serving as the Chairman of the Audit Committee. Our Board has determined that the three directors currently serving on our Audit Committee are independent within the meaning of the NASDAQ Marketplace Rules and Rule 10A-3 under the Exchange Act. In addition, our Board has determined that Mr. Roberts qualifies as an audit committee financial expert within the meaning of SEC regulations and The NASDAQ Marketplace Rules.</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persons who beneficially own more than 10% of our outstanding common stock to file reports with the SEC regarding their stock ownership and changes in their ownership of our common stock. Based on our records and representations from our directors and executive officers, we believe that all Section 16(a) filing requirements applicable to our directors and executive officers were complied with during fiscal year 2024, except for the following: due to administrative error, Jennifer Callahan filed a late Form 4 on March 22, 2024 to report her purchase of common stock and warrants to purchase our common stock on March 15,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75" w:name="xdx_908_eecd--InsiderTrdPoliciesProcAdop"/>
      <w:bookmarkEnd w:id="75"/>
      <w:r>
        <w:rPr>
          <w:rFonts w:ascii="Times New Roman;Times;Serif" w:hAnsi="Times New Roman;Times;Serif"/>
          <w:b w:val="false"/>
          <w:i w:val="false"/>
          <w:caps w:val="false"/>
          <w:smallCaps w:val="false"/>
          <w:sz w:val="20"/>
        </w:rPr>
        <w:t>adopted an insider trading policy that governs the purchase, sale, and other transactions of our securities by our directors, officers and employees that we believe is reasonably designed to promote compliance with insider trading laws, rules, and regulations, as well as Nasdaq listing standards. A copy of our insider trading policy is filed as Exhibit 19 to this Annual Report. In addition, with regard to the Company’s trading in its own securities, it is our policy to comply with the federal securities laws and the applicable exchange listing requirements.</w:t>
      </w:r>
    </w:p>
    <w:p>
      <w:pPr>
        <w:pStyle w:val="TextBody"/>
        <w:bidi w:val="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085"/>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rFonts w:ascii="Times New Roman;Times;Serif" w:hAnsi="Times New Roman;Times;Serif"/>
                <w:b/>
              </w:rPr>
            </w:pPr>
            <w:bookmarkStart w:id="76" w:name="D_004"/>
            <w:bookmarkEnd w:id="76"/>
            <w:r>
              <w:rPr>
                <w:rFonts w:ascii="Times New Roman;Times;Serif" w:hAnsi="Times New Roman;Times;Serif"/>
                <w:b/>
              </w:rPr>
              <w:t xml:space="preserve">ITEM 11. </w:t>
            </w:r>
          </w:p>
        </w:tc>
        <w:tc>
          <w:tcPr>
            <w:tcW w:w="35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EXECUTIVE COMPENSATION</w:t>
            </w:r>
          </w:p>
        </w:tc>
      </w:tr>
    </w:tbl>
    <w:p>
      <w:pPr>
        <w:pStyle w:val="TextBody"/>
        <w:bidi w:val="0"/>
        <w:jc w:val="lef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and accompanying disclosure set forth information about the compensation earned by our named executive officers during 2024. Our named executive officers include our principal executive officer, the two most highly compensated executive officers (other than our principal executive officer) serving as executive officers as of December 31, 2024 as set forth below:</w:t>
      </w:r>
    </w:p>
    <w:p>
      <w:pPr>
        <w:pStyle w:val="TextBody"/>
        <w:bidi w:val="0"/>
        <w:ind w:left="0" w:right="0" w:firstLine="72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Shane J. Schaffer, Chief Executive Officer and Chairman of the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Laurie A. Myers, Executive Vice President and Chief Operating Officer;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 Callahan, Senior Vice President and Chief Financial Officer;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compensation awarded to, earned by or paid to each of our named executive officers for the years shown.</w:t>
      </w:r>
    </w:p>
    <w:p>
      <w:pPr>
        <w:pStyle w:val="TextBody"/>
        <w:bidi w:val="0"/>
        <w:ind w:left="0" w:right="0" w:firstLine="720"/>
        <w:jc w:val="left"/>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1985"/>
        <w:gridCol w:w="60"/>
        <w:gridCol w:w="60"/>
        <w:gridCol w:w="500"/>
        <w:gridCol w:w="60"/>
        <w:gridCol w:w="60"/>
        <w:gridCol w:w="60"/>
        <w:gridCol w:w="800"/>
        <w:gridCol w:w="60"/>
        <w:gridCol w:w="60"/>
        <w:gridCol w:w="60"/>
        <w:gridCol w:w="800"/>
        <w:gridCol w:w="60"/>
        <w:gridCol w:w="60"/>
        <w:gridCol w:w="60"/>
        <w:gridCol w:w="800"/>
        <w:gridCol w:w="60"/>
        <w:gridCol w:w="60"/>
        <w:gridCol w:w="60"/>
        <w:gridCol w:w="800"/>
        <w:gridCol w:w="75"/>
      </w:tblGrid>
      <w:tr>
        <w:trPr/>
        <w:tc>
          <w:tcPr>
            <w:tcW w:w="198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Shane J. Schaffer,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319,281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770,327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Chairman and 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491,961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Laurie A. Myers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458,182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EVP and COO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476,327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Jennifer L. Callahan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253,981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446,065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SVP and CFO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bonus amounts represent the bonuses earned by our named executive officers in 2024.  In January 2025, each named executive officer received one-half of their bonus in cash and one-half as a grant of non-qualified stock options with a grant date fair value equal to the cash bonus.</w:t>
            </w:r>
          </w:p>
        </w:tc>
      </w:tr>
      <w:tr>
        <w:trPr/>
        <w:tc>
          <w:tcPr>
            <w:tcW w:w="207"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both"/>
              <w:rPr/>
            </w:pPr>
            <w:r>
              <w:rPr/>
              <w:t> </w:t>
            </w:r>
          </w:p>
        </w:tc>
      </w:tr>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reflect the grant date fair value of the non-qualified stock option awards on March 4, 2024 and February 28, 2023, in accordance with FASB ASC Topic 718. The fair market value of the option awards was determined using the Black-Scholes Model. The assumptions used to estimate the grant date fair value of the stock option awards in March 2024 and February 2023 are set forth below.  The named executive officers received two stock option grants on March 4, 2024, one of which was contingent on stockholder approval at the June 2024 annual meeting to increase in the shares of common stock available in the Company’s equity incentive plan.  For accounting purposes, the contingent stock option grants used different assumptions to determine the grant date value than the grants that were not contingent on stockholder approval.</w:t>
            </w:r>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2345"/>
        <w:gridCol w:w="60"/>
        <w:gridCol w:w="60"/>
        <w:gridCol w:w="1100"/>
        <w:gridCol w:w="215"/>
        <w:gridCol w:w="60"/>
        <w:gridCol w:w="140"/>
        <w:gridCol w:w="680"/>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230" w:type="dxa"/>
            <w:tcBorders/>
            <w:vAlign w:val="center"/>
          </w:tcPr>
          <w:p>
            <w:pPr>
              <w:pStyle w:val="TableContents"/>
              <w:bidi w:val="0"/>
              <w:spacing w:before="0" w:after="283"/>
              <w:jc w:val="center"/>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3.98 - 4.32%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5.44 - 5.58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1.43-1.56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date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$7.49 - 13.33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430.00</w:t>
            </w:r>
          </w:p>
        </w:tc>
        <w:tc>
          <w:tcPr>
            <w:tcW w:w="23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December 2024, Mr. Schaffer, Ms. Myers and Ms. Callahan voluntarily forfeited 1,406, 573 and 220 stock options, respectively.  The forfeited stock options had exercise prices that ranged from $331 to $1,440 per share and the number of options and exercise prices reflected the August 2024 reverse stock split in addition to a 1-for-20 reverse stock split that was effective in November 2023.</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 Plans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provide broad-based health and welfare benefits that are available to all of our employees, including our named executive officers, including medical, dental, and vision insurance.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sponsor a 401(k) savings plan (the “401(k) Plan”) for all eligible employees. Under the 401(k) Plan, we do not make matching contributions into the 401(k) Plan other than the annual required safe harbor match.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Bonus Plan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reduction in annual base salary for all employees, effective December 16, 2023, and to incentivize employees to remain with the Company, the independent members of the Board approved a contingent bonus plan. Pursuant to this plan, the Company will pay to each employee on the date that is three months after the filing date of the New Drug Application for CTx-1301 with the FDA (the “payment date”) an amount equal to the aggregate dollar amount of base salary through the payment date that was not paid to the employee due to the salary reductions (“unpaid salary”) plus 20% of the unpaid salary amount. The Board reinstated base salaries for employees in September 2024. The unpaid salary amount for Mr. Schaffer, Ms. Myers and Ms. Callahan is $195,960, $150,167 and $88,754, respectively. The unpaid salary amounts may be paid in a combination of cash and equity awards, at the discretion of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our Named Executive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Shane J. Schaffer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2021, we entered into an employment agreement with Dr. Schaffer. Under the terms of Dr. Schaffer’s employment agreement, he holds the position of Chief Executive Officer. The employment agreement originally provided for a base salary of $475,000 annually, which was increased to $503,500, effective January 1, 2023. In connection with cost containment measures, Dr. Schaffer’s base salary was reduced to $226,350, effective December 16, 2023. In September 2024, Dr. Schaffer’s base salary was reinstated to $503,500 and effective January 1, 2025, Dr. Schaffer’s base salary was increased to $523,120. In addition, Dr. Schaffer is eligible to receive an annual bonus, with a target amount equal to twenty-five percent (25%) of Dr. Schaffer’s base salary. The actual amount of each bonus will be determined by the sole discretion of our Compensation Committee and will be based upon both the Company’s performance and Dr. Schaffer’s individual performance. Pursuant to the terms of his employment agreement, Dr. Schaffer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Dr. Schaffer’s employment at any time without cause upon providing written notice to Dr. Schaffer, and Dr. Schaffer may terminate his employment at any time for any reason, including for Good Reason (as that term is defined in Dr. Schaffer’s employment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Dr. Schaffer’s employment is terminated by the Company without cause or by Dr. Schaffer for Good Reason,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one and one half (1 ½) times Dr. Schaffer’s base salary and annual target bonus, within 60 days following the date of termination. In addition, all stock options and stock appreciation rights held by Dr. Schaffer, which would have vested if he had remained employed for an additional four (4) months following the date of termination, shall become vested and exercisable as of the date of termination for the remainder of their full term. If Dr. Schaffer’s employment is terminated by the Company without cause or by Dr. Schaffer for Good Reason within twelve (12) months of a Change of Control, Dr. Schaffer will be entitled to receive, subject to his signing a general release of claims in favor of the Company and related persons and entities within twenty-one (21) days of the date of termination and following the expiration of seven (7) days thereafter, a severance payment of a lump sum amount in cash equal to two (2) times Dr. Schaffer’s base salary and annual target bonus, within 60 days following the date of termination; provided however, if any payment or benefits would constitute an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Dr. Schaffer shall become vested and exercisable as of the date of termination for the remainder of their full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Laurie A. Myers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2021, we entered into an employment agreement with Ms. Myers. Under the terms of Ms. Myers’ employment agreement, she holds the positions of Executive Vice President and Chief Operating Officer. The employment agreement originally provided for a base salary of $400,000 annually, which was increased to $424,000, effective January 1, 2023. In connection with cost containment measures, Ms. Myers’ base salary was reduced to $212,000, effective December 16, 2023. In September 2024, Ms. Myers’ base salary was reinstated to $424,000 and effective January 1, 2025, Ms. Myers’ base salary was increased to $436,720. In addition, Ms. Myers is eligible to receive an annual bonus, with a target amount equal to twenty-five percent (25%) of Ms. Myers’ base salary. The actual amount of each bonus will be determined by the sole discretion of our Compensation Committee and will be based upon both the Company’s performance and Ms. Myers’ individual performance, as recommended by the Chief Executive Officer. Pursuant to the terms of her employment agreement, Ms. Myers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Ms. Myers’ employment at any time without cause upon providing written notice to Ms. Myers, and Ms. Myers may terminate her employment at any time for any reason, including for Good Reason (as that term is defined in Ms. Myers’ employment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Ms. Myers’ employment is terminated by the Company without cause or by Ms. Myers for Good Reason, Ms. Myers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Myers’ base salary and annual target bonus, within 60 days following the date of termination. In addition, all stock options and stock appreciation rights held by Ms. Myers, which would have vested if she had remained employed for an additional four (4) months following the date of termination, shall become vested and exercisable as of the date of termination for the remainder of their full term. If Ms. Myers’ employment is terminated by the Company without cause or by Ms. Myers for Good Reason within twelve (12) months of a Change of Control, Ms. Myers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Myers’ base salary and annual target bonus, within 60 days following the date of termination; provided however, if any payment or benefits would constitute an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Ms. Myers shall become vested and exercisable as of the date of termination for the remainder of their full term.</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Jennifer L. Callahan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we entered into an employment agreement with Ms. Callahan. Under the terms of Ms. Callahan’s employment agreement, she holds the positions of Senior Vice President and Chief Financial Officer. The employment agreement originally provided for a base salary of $350,000 annually. In connection with cost containment measures, Ms. Callahan’s base salary as Chief Financial Officer was reduced to $210,000, effective December 16, 2023. In September 2024, Ms. Callahan’s base salary was reinstated to $350,000 and effective January 1, 2025, Ms. Callahan’s base salary was increased to $364,000. In addition, Ms. Callahan is eligible to receive an annual bonus, with a target amount equal to twenty-five percent (25%) of Ms. Callahan’s base salary. The actual amount of each bonus will be determined by the sole discretion of our Compensation Committee and will be based upon both the Company’s performance and Ms. Callahan’s individual performance, as recommended by the Chief Executive Officer. Pursuant to the terms of her employment agreement, Ms. Callahan is also eligible to participate in all incentive and deferred compensation programs available to other executives or officers of the Company, and will be eligible to participate in any employee benefit plans and equity plans that we may adopt, which plans may be amended by the Company from time to time in its sole discretion.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terminate Ms. Callahan’s employment at any time without cause upon providing written notice to Ms. Callahan, and Ms. Callahan may terminate her employment at any time for any reason, including for Good Reason (as that term is defined in Ms. Callahan’s employment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Ms. Callahan’s employment is terminated by the Company without cause or by Ms. Callahan for Good Reason, Ms. Callahan will be entitled to receive, subject to her signing a general release of claims in favor of the Company and related persons and entities within twenty-one (21) days of the date of termination and following the expiration of seven (7) days thereafter, a severance payment in twelve (12) equal monthly payments equal to one (1) times Ms. Callahan’s base salary and annual target bonus, within 60 days following the date of termination. In addition, all stock options and stock appreciation rights held by Ms. Callahan, which would have vested if he had remained employed for an additional four (4) months following the date of termination, shall become vested and exercisable as of the date of termination for the remainder of their full term. If Ms. Callahan’s employment is terminated by the Company without cause or by Ms. Callahan for Good Reason within twelve (12) months of a Change of Control, Ms. Callahan will be entitled to receive, subject to her signing a general release of claims in favor of the Company and related persons and entities within twenty-one (21) days of the date of termination and following the expiration of seven (7) days thereafter, a severance payment of a lump sum amount in cash equal to one (1) times Ms. Callahan’s base salary and annual target bonus, within 60 days following the date of termination; provided however, if any payment or benefits would constitute an “parachute payment” as defined in Section 280(G) of the Internal Revenue Code, the payments will be the greater of (i) the largest amount to ensure that no portion of those payments be subject to the excise tax imposed by Section 4999 of the Internal Revenue Code and (ii) the amount of the full payment, less all taxes, including the excise tax imposed by Section 4999 of the Internal Revenue Code. In addition, all stock options and stock appreciation rights held by Ms. Callahan shall become vested and exercisable as of the date of termination for the remainder of their full term.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2024 Fiscal Year-End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9"/>
        <w:gridCol w:w="60"/>
        <w:gridCol w:w="62"/>
        <w:gridCol w:w="584"/>
        <w:gridCol w:w="202"/>
        <w:gridCol w:w="60"/>
        <w:gridCol w:w="240"/>
        <w:gridCol w:w="2375"/>
        <w:gridCol w:w="60"/>
        <w:gridCol w:w="60"/>
        <w:gridCol w:w="259"/>
        <w:gridCol w:w="2566"/>
        <w:gridCol w:w="60"/>
        <w:gridCol w:w="60"/>
        <w:gridCol w:w="130"/>
        <w:gridCol w:w="1055"/>
        <w:gridCol w:w="60"/>
        <w:gridCol w:w="60"/>
        <w:gridCol w:w="1223"/>
      </w:tblGrid>
      <w:tr>
        <w:trPr/>
        <w:tc>
          <w:tcPr>
            <w:tcW w:w="102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6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 date</w:t>
            </w:r>
          </w:p>
        </w:tc>
        <w:tc>
          <w:tcPr>
            <w:tcW w:w="2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options (#) exercisable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options (#) unexercisable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exercise price ($)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expiration date</w:t>
            </w:r>
          </w:p>
        </w:tc>
      </w:tr>
      <w:tr>
        <w:trPr/>
        <w:tc>
          <w:tcPr>
            <w:tcW w:w="102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6" w:type="dxa"/>
            <w:gridSpan w:val="2"/>
            <w:tcBorders/>
            <w:tcMar>
              <w:bottom w:w="0" w:type="dxa"/>
            </w:tcMar>
            <w:vAlign w:val="center"/>
          </w:tcPr>
          <w:p>
            <w:pPr>
              <w:pStyle w:val="TableContents"/>
              <w:bidi w:val="0"/>
              <w:spacing w:before="0" w:after="283"/>
              <w:jc w:val="left"/>
              <w:rPr/>
            </w:pPr>
            <w:r>
              <w:rPr/>
              <w:t> </w:t>
            </w:r>
          </w:p>
        </w:tc>
        <w:tc>
          <w:tcPr>
            <w:tcW w:w="2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1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2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3" w:type="dxa"/>
            <w:tcBorders/>
            <w:tcMar>
              <w:bottom w:w="0" w:type="dxa"/>
            </w:tcMar>
            <w:vAlign w:val="center"/>
          </w:tcPr>
          <w:p>
            <w:pPr>
              <w:pStyle w:val="TableContents"/>
              <w:bidi w:val="0"/>
              <w:spacing w:before="0" w:after="283"/>
              <w:jc w:val="left"/>
              <w:rPr/>
            </w:pPr>
            <w:r>
              <w:rPr/>
              <w:t> </w:t>
            </w:r>
          </w:p>
        </w:tc>
      </w:tr>
      <w:tr>
        <w:trPr/>
        <w:tc>
          <w:tcPr>
            <w:tcW w:w="10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Shane J. Schaffer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3-4-2024</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23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25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3-4-2034</w:t>
            </w:r>
          </w:p>
        </w:tc>
      </w:tr>
      <w:tr>
        <w:trPr/>
        <w:tc>
          <w:tcPr>
            <w:tcW w:w="10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4" w:type="dxa"/>
            <w:tcBorders/>
            <w:shd w:fill="FFFFFF" w:val="clear"/>
            <w:tcMar>
              <w:bottom w:w="0" w:type="dxa"/>
            </w:tcMar>
            <w:vAlign w:val="center"/>
          </w:tcPr>
          <w:p>
            <w:pPr>
              <w:pStyle w:val="TableContents"/>
              <w:bidi w:val="0"/>
              <w:spacing w:before="0" w:after="283"/>
              <w:jc w:val="righ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23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25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3" w:type="dxa"/>
            <w:tcBorders/>
            <w:shd w:fill="FFFFFF" w:val="clear"/>
            <w:tcMar>
              <w:bottom w:w="0" w:type="dxa"/>
            </w:tcMar>
            <w:vAlign w:val="center"/>
          </w:tcPr>
          <w:p>
            <w:pPr>
              <w:pStyle w:val="TableContents"/>
              <w:bidi w:val="0"/>
              <w:spacing w:before="0" w:after="283"/>
              <w:jc w:val="left"/>
              <w:rPr/>
            </w:pPr>
            <w:r>
              <w:rPr/>
              <w:t> </w:t>
            </w:r>
          </w:p>
        </w:tc>
      </w:tr>
      <w:tr>
        <w:trPr/>
        <w:tc>
          <w:tcPr>
            <w:tcW w:w="10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Laurie A. Myers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3-4-2024</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23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25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3-4-2034</w:t>
            </w:r>
          </w:p>
        </w:tc>
      </w:tr>
      <w:tr>
        <w:trPr/>
        <w:tc>
          <w:tcPr>
            <w:tcW w:w="102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584" w:type="dxa"/>
            <w:tcBorders/>
            <w:shd w:fill="FFFFFF" w:val="clear"/>
            <w:tcMar>
              <w:bottom w:w="0" w:type="dxa"/>
            </w:tcMar>
            <w:vAlign w:val="center"/>
          </w:tcPr>
          <w:p>
            <w:pPr>
              <w:pStyle w:val="TableContents"/>
              <w:bidi w:val="0"/>
              <w:spacing w:before="0" w:after="283"/>
              <w:jc w:val="righ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237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256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3" w:type="dxa"/>
            <w:tcBorders/>
            <w:shd w:fill="FFFFFF" w:val="clear"/>
            <w:tcMar>
              <w:bottom w:w="0" w:type="dxa"/>
            </w:tcMar>
            <w:vAlign w:val="center"/>
          </w:tcPr>
          <w:p>
            <w:pPr>
              <w:pStyle w:val="TableContents"/>
              <w:bidi w:val="0"/>
              <w:spacing w:before="0" w:after="283"/>
              <w:jc w:val="left"/>
              <w:rPr/>
            </w:pPr>
            <w:r>
              <w:rPr/>
              <w:t> </w:t>
            </w:r>
          </w:p>
        </w:tc>
      </w:tr>
      <w:tr>
        <w:trPr/>
        <w:tc>
          <w:tcPr>
            <w:tcW w:w="102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 Callahan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5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3-4-2024</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23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25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3-4-2034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 </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shares of our common stock underlying stock options and option exercise price reflects the 1-for-12 reverse stock split of our issued and outstanding common stock, which became effective on August 9, 2024.  In December 2024, Mr. Schaffer, Ms. Myers and Ms. Callahan voluntarily forfeited 1,406, 573 and 220 stock options, respectively.  The forfeited stock options had exercise prices that ranged from $331 to $1,440 per share and the number of options and exercise prices reflected the August 2024 reverse stock split in addition to a 1-for-20 reverse stock split that was effective in November 2023.</w:t>
            </w:r>
          </w:p>
        </w:tc>
      </w:tr>
      <w:tr>
        <w:trPr/>
        <w:tc>
          <w:tcPr>
            <w:tcW w:w="219" w:type="dxa"/>
            <w:tcBorders/>
            <w:vAlign w:val="center"/>
          </w:tcPr>
          <w:p>
            <w:pPr>
              <w:pStyle w:val="TableContents"/>
              <w:bidi w:val="0"/>
              <w:spacing w:before="0" w:after="283"/>
              <w:jc w:val="both"/>
              <w:rPr/>
            </w:pPr>
            <w:r>
              <w:rPr/>
              <w:t> </w:t>
            </w:r>
          </w:p>
        </w:tc>
        <w:tc>
          <w:tcPr>
            <w:tcW w:w="9986" w:type="dxa"/>
            <w:tcBorders/>
            <w:vAlign w:val="center"/>
          </w:tcPr>
          <w:p>
            <w:pPr>
              <w:pStyle w:val="TableContents"/>
              <w:bidi w:val="0"/>
              <w:spacing w:before="0" w:after="283"/>
              <w:jc w:val="both"/>
              <w:rPr/>
            </w:pPr>
            <w:r>
              <w:rPr/>
              <w:t> </w:t>
            </w:r>
          </w:p>
        </w:tc>
      </w:tr>
      <w:tr>
        <w:trPr/>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option vests as follows: 50% on the six-month anniversary of the date of grant and the remaining shares in substantially equal monthly installments over the 30-month period following the initial vesting date.</w:t>
            </w:r>
          </w:p>
        </w:tc>
      </w:tr>
    </w:tbl>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 Practices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approves and grants annual equity awards at approximately the same time every year. Annual stock option grants for employees are generally made in mid to late February and annual stock option grants for non-employee directors are generally made on the date of the annual meeting of stockholders. Outside of the annual grant cycle, the employment agreement of an executive officer provides for stock option grants on the last business day of each calendar quarter in lieu of base salary and the Compensation Committee has provided Mr. Schaffer with authority to make stock option grants within certain limits to non-Section 16 officers on the last business day of a calendar quarter.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options are granted pursuant to a stockholder-approved plan at an exercise price at or above the closing market price of our common stock on the date of grant. Stock options are not granted in anticipation of the release of material non-public information, and the release of material non-public information is not timed on the basis of stock option grant dates.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2024, we did not grant stock options to any named executive officer during any period beginning four business days before and ending one business day after the filing of any periodic report on Form 10-Q or Form 10-K, or the filing or furnishing of any Form 8-K that disclosed any material non-public information.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compensation awarded to, earned by or paid to each of the non-employee members of our Board for their service as a director during 2024 other than for reimbursement of reasonable expenses incurred in attending meetings of our Board and committees of our Board.</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Director Compensation Table</w:t>
      </w:r>
    </w:p>
    <w:p>
      <w:pPr>
        <w:pStyle w:val="TextBody"/>
        <w:bidi w:val="0"/>
        <w:jc w:val="center"/>
        <w:rPr>
          <w:caps w:val="false"/>
          <w:smallCaps w:val="false"/>
        </w:rPr>
      </w:pPr>
      <w:r>
        <w:rPr>
          <w:caps w:val="false"/>
          <w:smallCaps w:val="false"/>
        </w:rPr>
        <w:t> </w:t>
      </w:r>
    </w:p>
    <w:tbl>
      <w:tblPr>
        <w:tblW w:w="4668" w:type="dxa"/>
        <w:jc w:val="left"/>
        <w:tblInd w:w="0" w:type="dxa"/>
        <w:tblLayout w:type="fixed"/>
        <w:tblCellMar>
          <w:top w:w="0" w:type="dxa"/>
          <w:left w:w="0" w:type="dxa"/>
          <w:bottom w:w="28" w:type="dxa"/>
          <w:right w:w="0" w:type="dxa"/>
        </w:tblCellMar>
      </w:tblPr>
      <w:tblGrid>
        <w:gridCol w:w="1355"/>
        <w:gridCol w:w="60"/>
        <w:gridCol w:w="94"/>
        <w:gridCol w:w="930"/>
        <w:gridCol w:w="60"/>
        <w:gridCol w:w="60"/>
        <w:gridCol w:w="116"/>
        <w:gridCol w:w="1148"/>
        <w:gridCol w:w="60"/>
        <w:gridCol w:w="60"/>
        <w:gridCol w:w="60"/>
        <w:gridCol w:w="590"/>
        <w:gridCol w:w="75"/>
      </w:tblGrid>
      <w:tr>
        <w:trPr/>
        <w:tc>
          <w:tcPr>
            <w:tcW w:w="13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paid in </w:t>
              <w:br/>
              <w:t>cash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 Ervin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Lawrence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Roberts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9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76,519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Werth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9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47,775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reflect Board fees earned by each director during 2024, which were prorated during the first quarter for Messrs. Ervin, Lawrence and Roberts based on their appointment to the Board on February 12, 2024.      </w:t>
            </w:r>
          </w:p>
        </w:tc>
      </w:tr>
      <w:tr>
        <w:trPr/>
        <w:tc>
          <w:tcPr>
            <w:tcW w:w="212" w:type="dxa"/>
            <w:tcBorders/>
            <w:vAlign w:val="center"/>
          </w:tcPr>
          <w:p>
            <w:pPr>
              <w:pStyle w:val="TableContents"/>
              <w:bidi w:val="0"/>
              <w:spacing w:before="0" w:after="283"/>
              <w:jc w:val="left"/>
              <w:rPr/>
            </w:pPr>
            <w:r>
              <w:rPr/>
              <w:t> </w:t>
            </w:r>
          </w:p>
        </w:tc>
        <w:tc>
          <w:tcPr>
            <w:tcW w:w="9993" w:type="dxa"/>
            <w:tcBorders/>
            <w:vAlign w:val="center"/>
          </w:tcPr>
          <w:p>
            <w:pPr>
              <w:pStyle w:val="TableContents"/>
              <w:bidi w:val="0"/>
              <w:spacing w:before="0" w:after="283"/>
              <w:jc w:val="left"/>
              <w:rPr/>
            </w:pPr>
            <w:r>
              <w:rPr/>
              <w:t> </w:t>
            </w:r>
          </w:p>
        </w:tc>
      </w:tr>
      <w:tr>
        <w:trPr/>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reflect the aggregate grant date fair value of the non-qualified stock options awarded on March 4, 2024 and June 12, 2024 to the non-employee directors as of those dates in accordance with FASB ASC Topic 718. The fair market value of the option awards was determined using the Black-Scholes Model. The assumptions used to estimate the grant date fair value of the stock option awards in March are set forth in footnote 2 to the Summary Compensation Table above and the assumptions used in June 2024 were as follows:</w:t>
            </w:r>
          </w:p>
        </w:tc>
      </w:tr>
    </w:tbl>
    <w:p>
      <w:pPr>
        <w:pStyle w:val="TextBody"/>
        <w:bidi w:val="0"/>
        <w:jc w:val="left"/>
        <w:rPr>
          <w:caps w:val="false"/>
          <w:smallCaps w:val="false"/>
        </w:rPr>
      </w:pPr>
      <w:r>
        <w:rPr>
          <w:caps w:val="false"/>
          <w:smallCaps w:val="false"/>
        </w:rPr>
        <w:t> </w:t>
      </w:r>
    </w:p>
    <w:tbl>
      <w:tblPr>
        <w:tblW w:w="3689" w:type="dxa"/>
        <w:jc w:val="left"/>
        <w:tblInd w:w="0" w:type="dxa"/>
        <w:tblLayout w:type="fixed"/>
        <w:tblCellMar>
          <w:top w:w="0" w:type="dxa"/>
          <w:left w:w="0" w:type="dxa"/>
          <w:bottom w:w="0" w:type="dxa"/>
          <w:right w:w="0" w:type="dxa"/>
        </w:tblCellMar>
      </w:tblPr>
      <w:tblGrid>
        <w:gridCol w:w="2405"/>
        <w:gridCol w:w="60"/>
        <w:gridCol w:w="240"/>
        <w:gridCol w:w="754"/>
        <w:gridCol w:w="230"/>
      </w:tblGrid>
      <w:tr>
        <w:trPr/>
        <w:tc>
          <w:tcPr>
            <w:tcW w:w="24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2024</w:t>
            </w:r>
          </w:p>
        </w:tc>
        <w:tc>
          <w:tcPr>
            <w:tcW w:w="23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w:t>
            </w:r>
          </w:p>
        </w:tc>
        <w:tc>
          <w:tcPr>
            <w:tcW w:w="23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c>
          <w:tcPr>
            <w:tcW w:w="23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 date fair value: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w:t>
            </w:r>
          </w:p>
        </w:tc>
        <w:tc>
          <w:tcPr>
            <w:tcW w:w="23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Mr. Ervin held 2,825 stock options; Mr. Lawrence held 2,846 stock options; Mr. Roberts held 2,898 stock options; and Mr. Werth held 1,703 stock options.</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Director Compensation Program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approved a director compensation program for our non-employee directors in June 2024. This program provides for the following annual cash compensation:</w:t>
      </w:r>
    </w:p>
    <w:p>
      <w:pPr>
        <w:pStyle w:val="TextBody"/>
        <w:bidi w:val="0"/>
        <w:ind w:left="0" w:right="0" w:firstLine="72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 Retainer - $35,000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Lead Independent Director Retainer - $55,000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Committee Chair Retainer:</w:t>
            </w:r>
          </w:p>
        </w:tc>
      </w:tr>
    </w:tbl>
    <w:p>
      <w:pPr>
        <w:pStyle w:val="TextBody"/>
        <w:bidi w:val="0"/>
        <w:spacing w:before="0" w:after="283"/>
        <w:jc w:val="left"/>
        <w:rPr/>
      </w:pPr>
      <w:r>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 - $15,000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Compensation - $10,000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Nominating and Corporate Governance - $8,000</w:t>
            </w:r>
          </w:p>
        </w:tc>
      </w:tr>
    </w:tbl>
    <w:p>
      <w:pPr>
        <w:pStyle w:val="TextBody"/>
        <w:bidi w:val="0"/>
        <w:spacing w:before="0" w:after="283"/>
        <w:jc w:val="left"/>
        <w:rPr/>
      </w:pPr>
      <w:r>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Committee Member Retainer:</w:t>
            </w:r>
          </w:p>
        </w:tc>
      </w:tr>
    </w:tbl>
    <w:p>
      <w:pPr>
        <w:pStyle w:val="TextBody"/>
        <w:bidi w:val="0"/>
        <w:spacing w:before="0" w:after="283"/>
        <w:jc w:val="left"/>
        <w:rPr/>
      </w:pPr>
      <w:r>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Audit - $7,500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Compensation - $5,000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Nominating and Corporate Governance - $4,000</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cash fees will be paid quarterly in arrears and shall be pro-rated based on the number of whole or partial months served during a calendar year. Although directors are not paid meeting fees, the lead independent director, if any, and the Chairman of the Compensation Committee may determine to pay meeting fees for one or more meetings to the extent the number of Board or committee meetings exceeds the typical number of meetings during the year. We will also reimburse non-employee directors for reasonable expenses incurred in connection with attending board of director and committee meetings. Non-employee directors will receive an annual stock option award of 10,000 options, which will vest in a single installment on the first anniversary of the date of grant. Each new non-employee director will receive a stock option award of 15,000 options.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Schaffer, our Chief Executive Officer, serves as Chairman of our Board but does not receive additional compensation for his service as a director. See the Summary Compensation Table for a description of Dr. Schaffer’s 2024 compensation.</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
        <w:gridCol w:w="9412"/>
      </w:tblGrid>
      <w:tr>
        <w:trPr/>
        <w:tc>
          <w:tcPr>
            <w:tcW w:w="793" w:type="dxa"/>
            <w:tcBorders/>
            <w:vAlign w:val="center"/>
          </w:tcPr>
          <w:p>
            <w:pPr>
              <w:pStyle w:val="TableContents"/>
              <w:bidi w:val="0"/>
              <w:spacing w:before="0" w:after="283"/>
              <w:jc w:val="left"/>
              <w:rPr>
                <w:rFonts w:ascii="Times New Roman;Times;Serif" w:hAnsi="Times New Roman;Times;Serif"/>
                <w:b/>
                <w:sz w:val="20"/>
              </w:rPr>
            </w:pPr>
            <w:bookmarkStart w:id="77" w:name="m_018"/>
            <w:bookmarkEnd w:id="77"/>
            <w:r>
              <w:rPr>
                <w:rFonts w:ascii="Times New Roman;Times;Serif" w:hAnsi="Times New Roman;Times;Serif"/>
                <w:b/>
                <w:sz w:val="20"/>
              </w:rPr>
              <w:t>ITEM 12.</w:t>
            </w:r>
          </w:p>
        </w:tc>
        <w:tc>
          <w:tcPr>
            <w:tcW w:w="941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our board of directors and stockholders adopted the 2021 Omnibus Equity Incentive Plan (the “Equity Plan”), which provides for the grant of incentive stock options and non-qualified stock options to purchase shares of our common stock and other types of awards. The general purpose of the Equity Plan is to provide a means whereby eligible employees, officers, non-employee directors and other individual service providers develop a sense of proprietorship and personal involvement in our development and financial success, and to encourage them to devote their best efforts to our business, thereby advancing our interests and the interests of our stockholders.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2024 with respect to shares of our common stock that may be issued pursuant to our equity compensation plans.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9"/>
        <w:gridCol w:w="60"/>
        <w:gridCol w:w="217"/>
        <w:gridCol w:w="2161"/>
        <w:gridCol w:w="60"/>
        <w:gridCol w:w="60"/>
        <w:gridCol w:w="431"/>
        <w:gridCol w:w="1683"/>
        <w:gridCol w:w="60"/>
        <w:gridCol w:w="60"/>
        <w:gridCol w:w="307"/>
        <w:gridCol w:w="3028"/>
        <w:gridCol w:w="79"/>
      </w:tblGrid>
      <w:tr>
        <w:trPr/>
        <w:tc>
          <w:tcPr>
            <w:tcW w:w="1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8"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securities to be issued upon exercise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 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securities remaining available for future issuance under equity compensation plans (excluding securities reflected in column a)</w:t>
            </w:r>
          </w:p>
        </w:tc>
        <w:tc>
          <w:tcPr>
            <w:tcW w:w="79" w:type="dxa"/>
            <w:tcBorders/>
            <w:vAlign w:val="center"/>
          </w:tcPr>
          <w:p>
            <w:pPr>
              <w:pStyle w:val="TableContents"/>
              <w:bidi w:val="0"/>
              <w:spacing w:before="0" w:after="283"/>
              <w:jc w:val="left"/>
              <w:rPr/>
            </w:pPr>
            <w:r>
              <w:rPr/>
              <w:t> </w:t>
            </w:r>
          </w:p>
        </w:tc>
      </w:tr>
      <w:tr>
        <w:trPr/>
        <w:tc>
          <w:tcPr>
            <w:tcW w:w="19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Plan category</w:t>
            </w:r>
          </w:p>
        </w:tc>
        <w:tc>
          <w:tcPr>
            <w:tcW w:w="60" w:type="dxa"/>
            <w:tcBorders/>
            <w:vAlign w:val="center"/>
          </w:tcPr>
          <w:p>
            <w:pPr>
              <w:pStyle w:val="TableContents"/>
              <w:bidi w:val="0"/>
              <w:spacing w:before="0" w:after="283"/>
              <w:jc w:val="left"/>
              <w:rPr/>
            </w:pPr>
            <w:r>
              <w:rPr/>
              <w:t> </w:t>
            </w:r>
          </w:p>
        </w:tc>
        <w:tc>
          <w:tcPr>
            <w:tcW w:w="23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(c)(2)</w:t>
            </w:r>
          </w:p>
        </w:tc>
        <w:tc>
          <w:tcPr>
            <w:tcW w:w="79" w:type="dxa"/>
            <w:tcBorders/>
            <w:vAlign w:val="center"/>
          </w:tcPr>
          <w:p>
            <w:pPr>
              <w:pStyle w:val="TableContents"/>
              <w:bidi w:val="0"/>
              <w:spacing w:before="0" w:after="283"/>
              <w:jc w:val="left"/>
              <w:rPr/>
            </w:pPr>
            <w:r>
              <w:rPr/>
              <w:t> </w:t>
            </w:r>
          </w:p>
        </w:tc>
      </w:tr>
      <w:tr>
        <w:trPr/>
        <w:tc>
          <w:tcPr>
            <w:tcW w:w="19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approved by security holders (1)</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3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36,174</w:t>
            </w:r>
          </w:p>
        </w:tc>
        <w:tc>
          <w:tcPr>
            <w:tcW w:w="79" w:type="dxa"/>
            <w:tcBorders/>
            <w:shd w:fill="CCEEFF" w:val="clear"/>
            <w:vAlign w:val="center"/>
          </w:tcPr>
          <w:p>
            <w:pPr>
              <w:pStyle w:val="TableContents"/>
              <w:bidi w:val="0"/>
              <w:spacing w:before="0" w:after="283"/>
              <w:jc w:val="left"/>
              <w:rPr/>
            </w:pPr>
            <w:r>
              <w:rPr/>
              <w:t> </w:t>
            </w:r>
          </w:p>
        </w:tc>
      </w:tr>
      <w:tr>
        <w:trPr/>
        <w:tc>
          <w:tcPr>
            <w:tcW w:w="19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9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36,174</w:t>
            </w:r>
          </w:p>
        </w:tc>
        <w:tc>
          <w:tcPr>
            <w:tcW w:w="79"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amounts shown in this row include securities under the Equity Plan.</w:t>
            </w:r>
          </w:p>
        </w:tc>
      </w:tr>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9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accordance with the “evergreen” provision in our Equity Plan, an additional 216,250 shares of our common stock were automatically made available for issuance on the first day of 2025, which represents 5% of the number of fully-diluted shares outstanding on December 31, 2024 (rounded to the nearest 1,000 share increment). These shares are excluded from the shares disclosed in the table.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ind w:left="0" w:right="0" w:firstLine="720"/>
        <w:jc w:val="left"/>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the beneficial ownership of our common stock as of March 21, 2025 (unless otherwise noted) by:</w:t>
      </w:r>
    </w:p>
    <w:p>
      <w:pPr>
        <w:pStyle w:val="TextBody"/>
        <w:shd w:fill="FFFFFF" w:val="clear"/>
        <w:bidi w:val="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or group known to us who beneficially owns more than 5%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Named Executive Officers;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current executive officers as a group.</w:t>
            </w:r>
          </w:p>
        </w:tc>
      </w:tr>
    </w:tbl>
    <w:p>
      <w:pPr>
        <w:pStyle w:val="TextBody"/>
        <w:shd w:fill="FFFFFF" w:val="clear"/>
        <w:bidi w:val="0"/>
        <w:ind w:left="0" w:right="0" w:firstLine="49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shd w:fill="FFFFFF" w:val="clear"/>
        <w:bidi w:val="0"/>
        <w:ind w:left="0" w:right="0" w:firstLine="49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Under these rules, beneficial ownership includes any shares of common stock as to which the individual or entity has sole or shared voting power or investment power. In computing the number of shares beneficially owned by an individual or entity and the percentage ownership of that person, shares of common stock subject to options or warrants held by such person that are currently exercisable or will become exercisable within 60 days of March 21, 2025 are considered outstanding, although these shares are not considered outstanding for purposes of computing the percentage ownership of any other person.</w:t>
      </w:r>
    </w:p>
    <w:p>
      <w:pPr>
        <w:pStyle w:val="TextBody"/>
        <w:bidi w:val="0"/>
        <w:ind w:left="0" w:right="0" w:firstLine="490"/>
        <w:jc w:val="left"/>
        <w:rPr>
          <w:caps w:val="false"/>
          <w:smallCaps w:val="false"/>
        </w:rPr>
      </w:pPr>
      <w:r>
        <w:rPr>
          <w:caps w:val="false"/>
          <w:smallCaps w:val="false"/>
        </w:rPr>
        <w:t> </w:t>
      </w:r>
    </w:p>
    <w:tbl>
      <w:tblPr>
        <w:tblW w:w="8123" w:type="dxa"/>
        <w:jc w:val="left"/>
        <w:tblInd w:w="0" w:type="dxa"/>
        <w:tblLayout w:type="fixed"/>
        <w:tblCellMar>
          <w:top w:w="0" w:type="dxa"/>
          <w:left w:w="0" w:type="dxa"/>
          <w:bottom w:w="28" w:type="dxa"/>
          <w:right w:w="0" w:type="dxa"/>
        </w:tblCellMar>
      </w:tblPr>
      <w:tblGrid>
        <w:gridCol w:w="4880"/>
        <w:gridCol w:w="60"/>
        <w:gridCol w:w="131"/>
        <w:gridCol w:w="1538"/>
        <w:gridCol w:w="350"/>
        <w:gridCol w:w="60"/>
        <w:gridCol w:w="118"/>
        <w:gridCol w:w="756"/>
        <w:gridCol w:w="230"/>
      </w:tblGrid>
      <w:tr>
        <w:trPr/>
        <w:tc>
          <w:tcPr>
            <w:tcW w:w="48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Beneficial Owner (1)</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Beneficially Owned</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(2)</w:t>
            </w:r>
          </w:p>
        </w:tc>
        <w:tc>
          <w:tcPr>
            <w:tcW w:w="230" w:type="dxa"/>
            <w:tcBorders/>
            <w:tcMar>
              <w:bottom w:w="0" w:type="dxa"/>
            </w:tcMar>
            <w:vAlign w:val="center"/>
          </w:tcPr>
          <w:p>
            <w:pPr>
              <w:pStyle w:val="TableContents"/>
              <w:bidi w:val="0"/>
              <w:spacing w:before="0" w:after="283"/>
              <w:jc w:val="left"/>
              <w:rPr/>
            </w:pPr>
            <w:r>
              <w:rPr/>
              <w:t> </w:t>
            </w:r>
          </w:p>
        </w:tc>
      </w:tr>
      <w:tr>
        <w:trPr/>
        <w:tc>
          <w:tcPr>
            <w:tcW w:w="48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tcMar>
              <w:bottom w:w="0" w:type="dxa"/>
            </w:tcMar>
            <w:vAlign w:val="center"/>
          </w:tcPr>
          <w:p>
            <w:pPr>
              <w:pStyle w:val="TableContents"/>
              <w:bidi w:val="0"/>
              <w:spacing w:before="0" w:after="283"/>
              <w:jc w:val="righ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Named 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Shane J. Schaffer, Pharm.D.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53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45,985</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Laurie A. Myers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15,916</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 Callahan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53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18,155</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 S. Ervin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1,991</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Lawrence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53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2,012</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A. Roberts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2,064</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J. Werth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53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98,980</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All Directors and Executive Officers as a group (9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53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208,036</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Denotes less than 1%.</w:t>
            </w:r>
          </w:p>
        </w:tc>
      </w:tr>
      <w:tr>
        <w:trPr/>
        <w:tc>
          <w:tcPr>
            <w:tcW w:w="210" w:type="dxa"/>
            <w:tcBorders/>
            <w:vAlign w:val="center"/>
          </w:tcPr>
          <w:p>
            <w:pPr>
              <w:pStyle w:val="TableContents"/>
              <w:bidi w:val="0"/>
              <w:spacing w:before="0" w:after="283"/>
              <w:jc w:val="both"/>
              <w:rPr/>
            </w:pPr>
            <w:r>
              <w:rPr/>
              <w:t> </w:t>
            </w:r>
          </w:p>
        </w:tc>
        <w:tc>
          <w:tcPr>
            <w:tcW w:w="9995" w:type="dxa"/>
            <w:tcBorders/>
            <w:vAlign w:val="center"/>
          </w:tcPr>
          <w:p>
            <w:pPr>
              <w:pStyle w:val="TableContents"/>
              <w:bidi w:val="0"/>
              <w:spacing w:before="0" w:after="283"/>
              <w:jc w:val="both"/>
              <w:rPr/>
            </w:pPr>
            <w:r>
              <w:rPr/>
              <w:t> </w:t>
            </w:r>
          </w:p>
        </w:tc>
      </w:tr>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noted otherwise, the address of all listed stockholder is 1901 W. 47th Place, Kansas City, KS 66205. Each of the stockholders listed has sole voting and investment power with respect to the shares beneficially owned by the stockholder unless noted otherwise, subject to community property laws where applicable.</w:t>
            </w:r>
          </w:p>
        </w:tc>
      </w:tr>
      <w:tr>
        <w:trPr/>
        <w:tc>
          <w:tcPr>
            <w:tcW w:w="210" w:type="dxa"/>
            <w:tcBorders/>
            <w:vAlign w:val="center"/>
          </w:tcPr>
          <w:p>
            <w:pPr>
              <w:pStyle w:val="TableContents"/>
              <w:bidi w:val="0"/>
              <w:spacing w:before="0" w:after="283"/>
              <w:jc w:val="both"/>
              <w:rPr/>
            </w:pPr>
            <w:r>
              <w:rPr/>
              <w:t> </w:t>
            </w:r>
          </w:p>
        </w:tc>
        <w:tc>
          <w:tcPr>
            <w:tcW w:w="9995" w:type="dxa"/>
            <w:tcBorders/>
            <w:vAlign w:val="center"/>
          </w:tcPr>
          <w:p>
            <w:pPr>
              <w:pStyle w:val="TableContents"/>
              <w:bidi w:val="0"/>
              <w:spacing w:before="0" w:after="283"/>
              <w:jc w:val="both"/>
              <w:rPr/>
            </w:pPr>
            <w:r>
              <w:rPr/>
              <w:t> </w:t>
            </w:r>
          </w:p>
        </w:tc>
      </w:tr>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determined beneficial ownership in accordance with Rule 13d-3 under the Securities Exchange Act of 1934, as amended, which is generally determined by voting power and/or dispositive power with respect to securities. Percentage ownership is based on 3,768,400 shares of common stock issued and outstanding as of March 21, 2025, plus any shares issuable upon exercise of options or warrants that are exercisable with 60 days of March 21, 2025 held by such person.</w:t>
            </w:r>
          </w:p>
        </w:tc>
      </w:tr>
      <w:tr>
        <w:trPr/>
        <w:tc>
          <w:tcPr>
            <w:tcW w:w="210" w:type="dxa"/>
            <w:tcBorders/>
            <w:vAlign w:val="center"/>
          </w:tcPr>
          <w:p>
            <w:pPr>
              <w:pStyle w:val="TableContents"/>
              <w:bidi w:val="0"/>
              <w:spacing w:before="0" w:after="283"/>
              <w:jc w:val="both"/>
              <w:rPr/>
            </w:pPr>
            <w:r>
              <w:rPr/>
              <w:t> </w:t>
            </w:r>
          </w:p>
        </w:tc>
        <w:tc>
          <w:tcPr>
            <w:tcW w:w="9995" w:type="dxa"/>
            <w:tcBorders/>
            <w:vAlign w:val="center"/>
          </w:tcPr>
          <w:p>
            <w:pPr>
              <w:pStyle w:val="TableContents"/>
              <w:bidi w:val="0"/>
              <w:spacing w:before="0" w:after="283"/>
              <w:jc w:val="both"/>
              <w:rPr/>
            </w:pPr>
            <w:r>
              <w:rPr/>
              <w:t> </w:t>
            </w:r>
          </w:p>
        </w:tc>
      </w:tr>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(i) 295 shares of our common stock issuable upon exercise of warrants that are currently exercisable, (ii) 42,151 shares of our common stock issuable upon the exercise of stock options that are exercisable within 60 days of March 21, 2025, and (iii) 3,366 shares of common stock held by Fountainhead Shrugged, LLC. Dr. Schaffer is the manager of Fountainhead Shrugged, LLC and has voting and investment power over the securities held by Fountainhead Shrugged, LLC. Does not include 78,893 shares of our common stock issuable upon the exercise of stock options that are not exercisable within 60 days of March 21, 2025. </w:t>
            </w:r>
          </w:p>
        </w:tc>
      </w:tr>
      <w:tr>
        <w:trPr/>
        <w:tc>
          <w:tcPr>
            <w:tcW w:w="210" w:type="dxa"/>
            <w:tcBorders/>
            <w:vAlign w:val="center"/>
          </w:tcPr>
          <w:p>
            <w:pPr>
              <w:pStyle w:val="TableContents"/>
              <w:bidi w:val="0"/>
              <w:spacing w:before="0" w:after="283"/>
              <w:jc w:val="both"/>
              <w:rPr/>
            </w:pPr>
            <w:r>
              <w:rPr/>
              <w:t> </w:t>
            </w:r>
          </w:p>
        </w:tc>
        <w:tc>
          <w:tcPr>
            <w:tcW w:w="9995" w:type="dxa"/>
            <w:tcBorders/>
            <w:vAlign w:val="center"/>
          </w:tcPr>
          <w:p>
            <w:pPr>
              <w:pStyle w:val="TableContents"/>
              <w:bidi w:val="0"/>
              <w:spacing w:before="0" w:after="283"/>
              <w:jc w:val="both"/>
              <w:rPr/>
            </w:pPr>
            <w:r>
              <w:rPr/>
              <w:t> </w:t>
            </w:r>
          </w:p>
        </w:tc>
      </w:tr>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15,916 shares of our common stock issuable upon the exercise of stock options that are exercisable within 60 days of March 21, 2025. Does not include 21,451 shares of our common stock issuable upon the exercise of stock options that are not exercisable within 60 days of March 21, 2025.</w:t>
            </w:r>
          </w:p>
        </w:tc>
      </w:tr>
      <w:tr>
        <w:trPr/>
        <w:tc>
          <w:tcPr>
            <w:tcW w:w="210" w:type="dxa"/>
            <w:tcBorders/>
            <w:vAlign w:val="center"/>
          </w:tcPr>
          <w:p>
            <w:pPr>
              <w:pStyle w:val="TableContents"/>
              <w:bidi w:val="0"/>
              <w:spacing w:before="0" w:after="283"/>
              <w:jc w:val="both"/>
              <w:rPr/>
            </w:pPr>
            <w:r>
              <w:rPr/>
              <w:t> </w:t>
            </w:r>
          </w:p>
        </w:tc>
        <w:tc>
          <w:tcPr>
            <w:tcW w:w="9995" w:type="dxa"/>
            <w:tcBorders/>
            <w:vAlign w:val="center"/>
          </w:tcPr>
          <w:p>
            <w:pPr>
              <w:pStyle w:val="TableContents"/>
              <w:bidi w:val="0"/>
              <w:spacing w:before="0" w:after="283"/>
              <w:jc w:val="both"/>
              <w:rPr/>
            </w:pPr>
            <w:r>
              <w:rPr/>
              <w:t> </w:t>
            </w:r>
          </w:p>
        </w:tc>
      </w:tr>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(i) 88 shares of our common stock issuable upon exercise of warrants that are currently exercisable and (ii) 17,872 shares of our common stock issuable upon the exercise of stock options that are exercisable within 60 days of March 21, 2025. Does not include 24,808 shares of our common stock issuable upon the exercise of stock options that are not exercisable within 60 days of March 21, 2025. </w:t>
            </w:r>
          </w:p>
        </w:tc>
      </w:tr>
      <w:tr>
        <w:trPr/>
        <w:tc>
          <w:tcPr>
            <w:tcW w:w="210" w:type="dxa"/>
            <w:tcBorders/>
            <w:vAlign w:val="center"/>
          </w:tcPr>
          <w:p>
            <w:pPr>
              <w:pStyle w:val="TableContents"/>
              <w:bidi w:val="0"/>
              <w:spacing w:before="0" w:after="283"/>
              <w:jc w:val="both"/>
              <w:rPr/>
            </w:pPr>
            <w:r>
              <w:rPr/>
              <w:t> </w:t>
            </w:r>
          </w:p>
        </w:tc>
        <w:tc>
          <w:tcPr>
            <w:tcW w:w="9995" w:type="dxa"/>
            <w:tcBorders/>
            <w:vAlign w:val="center"/>
          </w:tcPr>
          <w:p>
            <w:pPr>
              <w:pStyle w:val="TableContents"/>
              <w:bidi w:val="0"/>
              <w:spacing w:before="0" w:after="283"/>
              <w:jc w:val="both"/>
              <w:rPr/>
            </w:pPr>
            <w:r>
              <w:rPr/>
              <w:t> </w:t>
            </w:r>
          </w:p>
        </w:tc>
      </w:tr>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1,991 shares of our common stock issuable upon exercise of warrants that are currently exercisable. Does not include 834 shares of our common stock issuable upon the exercise of stock options that are not exercisable within 60 days of March 21, 2025.</w:t>
            </w:r>
          </w:p>
        </w:tc>
      </w:tr>
      <w:tr>
        <w:trPr/>
        <w:tc>
          <w:tcPr>
            <w:tcW w:w="210" w:type="dxa"/>
            <w:tcBorders/>
            <w:vAlign w:val="center"/>
          </w:tcPr>
          <w:p>
            <w:pPr>
              <w:pStyle w:val="TableContents"/>
              <w:bidi w:val="0"/>
              <w:spacing w:before="0" w:after="283"/>
              <w:jc w:val="both"/>
              <w:rPr/>
            </w:pPr>
            <w:r>
              <w:rPr/>
              <w:t> </w:t>
            </w:r>
          </w:p>
        </w:tc>
        <w:tc>
          <w:tcPr>
            <w:tcW w:w="9995" w:type="dxa"/>
            <w:tcBorders/>
            <w:vAlign w:val="center"/>
          </w:tcPr>
          <w:p>
            <w:pPr>
              <w:pStyle w:val="TableContents"/>
              <w:bidi w:val="0"/>
              <w:spacing w:before="0" w:after="283"/>
              <w:jc w:val="both"/>
              <w:rPr/>
            </w:pPr>
            <w:r>
              <w:rPr/>
              <w:t> </w:t>
            </w:r>
          </w:p>
        </w:tc>
      </w:tr>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2,012 shares of our common stock issuable upon exercise of warrants that are currently exercisable. Does not include 834 shares of our common stock issuable upon the exercise of stock options that are not exercisable within 60 days of March 21, 2025.</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2,064 shares of our common stock issuable upon exercise of warrants that are currently exercisable. Does not include 834 shares of our common stock issuable upon the exercise of stock options that are not exercisable within 60 days of March 21, 2025.</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35 shares of our common stock issuable upon exercise of warrants that are currently exercisable, (ii) 859 shares of our common stock issuable upon the exercise of stock options that are exercisable within 60 days of March 21, 2025, and (iii) 97,994 shares of common stock held by Werth Family Investment Associates LLC. Mr. Werth is the manager of Werth Family Investment Associates LLC and has voting and investment power over the securities held by Werth Family Investment Associates LLC. Does not include 844 shares of our common stock issuable upon the exercise of stock options that are not exercisable within 60 days of March 21, 2025.</w:t>
            </w:r>
          </w:p>
        </w:tc>
      </w:tr>
      <w:tr>
        <w:trPr/>
        <w:tc>
          <w:tcPr>
            <w:tcW w:w="315" w:type="dxa"/>
            <w:tcBorders/>
            <w:vAlign w:val="center"/>
          </w:tcPr>
          <w:p>
            <w:pPr>
              <w:pStyle w:val="TableContents"/>
              <w:bidi w:val="0"/>
              <w:spacing w:before="0" w:after="283"/>
              <w:jc w:val="both"/>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101,141 shares of our common stock issuable upon exercise of warrants that are currently exercisable. Does not include 168,648 shares of our common stock issuable upon the exercise of stock options that are not exercisable within 60 days of March 21, 2025.</w:t>
            </w:r>
          </w:p>
        </w:tc>
      </w:tr>
    </w:tbl>
    <w:p>
      <w:pPr>
        <w:pStyle w:val="TextBody"/>
        <w:bidi w:val="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860"/>
        <w:gridCol w:w="8720"/>
      </w:tblGrid>
      <w:tr>
        <w:trPr/>
        <w:tc>
          <w:tcPr>
            <w:tcW w:w="860" w:type="dxa"/>
            <w:tcBorders/>
            <w:vAlign w:val="center"/>
          </w:tcPr>
          <w:p>
            <w:pPr>
              <w:pStyle w:val="TableContents"/>
              <w:bidi w:val="0"/>
              <w:spacing w:before="0" w:after="283"/>
              <w:jc w:val="left"/>
              <w:rPr>
                <w:rFonts w:ascii="Times New Roman;Times;Serif" w:hAnsi="Times New Roman;Times;Serif"/>
                <w:b/>
                <w:sz w:val="20"/>
              </w:rPr>
            </w:pPr>
            <w:bookmarkStart w:id="78" w:name="m_019"/>
            <w:bookmarkEnd w:id="78"/>
            <w:r>
              <w:rPr>
                <w:rFonts w:ascii="Times New Roman;Times;Serif" w:hAnsi="Times New Roman;Times;Serif"/>
                <w:b/>
                <w:sz w:val="20"/>
              </w:rPr>
              <w:t>ITEM 13.</w:t>
            </w:r>
          </w:p>
        </w:tc>
        <w:tc>
          <w:tcPr>
            <w:tcW w:w="87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CERTAIN RELATIONSHIPS AND RELATED TRANSACTIONS, AND DIRECTOR INDEPENDENCE</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transactions since January 1, 2023 to which we have been a participant in which the amount involved exceeded or will exceed the lesser of (i) $120,000 and (ii) one percent of the average of our total assets at year-end for the last two completed fiscal years in which any of our directors, executive officers or holders of more than 5% of our voting securities, or any members of their immediate family, had or will have a direct or indirect material interest, other than compensation arrangements.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WFIA Note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9, 2022, CTx issued the Original Note to WFIA. Peter Werth, a member of our Board is manager of WFIA. The Original Note was unsecured with interest accruing at 15% per annum. Outstanding principal and all accrued and unpaid interest were due and payable on August 8, 2025, or 120 days following written demand made by WFIA during the first five business days of a calendar quarter beginning April 1, 2023. CTx was permitted to prepay the Original Note, in whole or in part, without premium or penalty; provided, that no amount repaid was permitted to be reborrowed.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2023, CTx executed the WFIA Note in favor of WFIA that increased the principal amount of the Original Note from $5.0 million to $8.0 million.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we entered into a note conversion agreement with WFIA, pursuant to which WFIA agreed to convert the Original Principal Amount under the WFIA Note in the September WFIA Pre-Funded Warrants to purchase 341,912 shares of our common stock at a conversion price per September WFIA Pre-Funded Warrant of $17.00. The September WFIA Pre-Funded Warrants have no expiration date and are exercisable immediately at an exercise price of $0.002 per share, to the extent that after giving effect to such exercise, WFIA and its affiliates would beneficially own, for purposes of Section 13(d) of the Exchange Act, no more than 19.99% of the outstanding shares of Common Stock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we entered into the January 2024 Note Conversion Agreement and converted the remaining $3.0 million of principal plus all accrued interest, or $3,287,500, under the note payable to WFIA into the January WFIA Pre-Funded Warrants to purchase 687,043 shares of common stock at a conversion price per pre-funded warrant of $4.785. The closing price of our common stock on January 24, 2024 was $4.35. The January 2024 Pre-Funded Warrants have no expiration date and are exercisable immediately at an exercise price of $0.0001 per share, to the extent that after giving effect to such exercise, WFIA and its affiliates would beneficially own, for purposes of Section 13(d) of the Exchange Act, no more than 19.99% of the outstanding shares of our common stock. In March of 2024, we issued to WFIA an additional pre-funded warrant to purchase 7,053 shares of common stock as a result of an error in the interest calculation, on the same form and at the same conversion price as the January WFIA Pre-Funded Warrants. WFIA exercised all of its pre-funded warrants in April 2024.</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WFIA August 2023 Private Placement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2023, we entered into August 2023 Purchase Agreement with WFIA and issued 51,158 shares of our common stock at a purchase price per share of $10.97, for aggregate gross proceeds to us of approximately $1.0 million, before deducting transaction expenses payable by us. The WFIA Private Placement closed on August 11,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Officers and Directors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policies and procedures for related party transactions that prohibit our executive officers, directors, nominees for election as a director, beneficial owners of more than 5% of any class of our common stock, any members of the immediate family of any of the foregoing persons and any firms, corporations or other entities in which any of the foregoing persons is employed or is a partner or principal or in a similar position or in which such person has a 5% or greater beneficial ownership interest, or related parties, from entering into a transaction with us without the prior consent of our Board acting through the Audit Committee or, in certain circumstances, the chairman of the Audit Committee. Any request for us to enter into a transaction with a related party, in which the amount involved will, or may be expected to, exceed $100,000 and such related party would have a direct or indirect interest must first be presented to our Audit Committee, or in certain circumstances the chairman of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the extent of the benefits to us, the availability of other sources of comparable products or services and the extent of the related person’s interest in the transaction.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Jeff Ervin, Bryan Lawrence and John Roberts are “independent directors” as such term is defined by Nasdaq Marketplace Rule 5605(a)(2). Due to the promissory note issued by CTx in favor of WFIA, of which Mr. Werth is manager, our Board determined that Mr. Werth is not an independent director. In addition, Shane Schaffer is not an independent director due to his position as Chief Executive Officer of the Company. We have established an Audit Committee, a Compensation Committee and a Nominating and Corporate Governance Committee, each of which are comprised of independent directors.</w:t>
      </w:r>
    </w:p>
    <w:p>
      <w:pPr>
        <w:pStyle w:val="TextBody"/>
        <w:bidi w:val="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860"/>
        <w:gridCol w:w="4505"/>
      </w:tblGrid>
      <w:tr>
        <w:trPr/>
        <w:tc>
          <w:tcPr>
            <w:tcW w:w="860" w:type="dxa"/>
            <w:tcBorders/>
            <w:vAlign w:val="center"/>
          </w:tcPr>
          <w:p>
            <w:pPr>
              <w:pStyle w:val="TableContents"/>
              <w:bidi w:val="0"/>
              <w:spacing w:before="0" w:after="283"/>
              <w:jc w:val="left"/>
              <w:rPr>
                <w:rFonts w:ascii="Times New Roman;Times;Serif" w:hAnsi="Times New Roman;Times;Serif"/>
                <w:b/>
                <w:sz w:val="20"/>
              </w:rPr>
            </w:pPr>
            <w:bookmarkStart w:id="79" w:name="m_020"/>
            <w:bookmarkEnd w:id="79"/>
            <w:r>
              <w:rPr>
                <w:rFonts w:ascii="Times New Roman;Times;Serif" w:hAnsi="Times New Roman;Times;Serif"/>
                <w:b/>
                <w:sz w:val="20"/>
              </w:rPr>
              <w:t>ITEM 14.</w:t>
            </w:r>
          </w:p>
        </w:tc>
        <w:tc>
          <w:tcPr>
            <w:tcW w:w="45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ACCOUNTANT FEES AND SERVICES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independent registered public accounting firm is KPMG LLP, Kansas City, MO, Auditor Firm ID: </w:t>
      </w:r>
      <w:bookmarkStart w:id="80" w:name="xdx_901_edei--AuditorFirmId_c20240101__2"/>
      <w:bookmarkEnd w:id="80"/>
      <w:r>
        <w:rPr>
          <w:rFonts w:ascii="Times New Roman;Times;Serif" w:hAnsi="Times New Roman;Times;Serif"/>
          <w:b w:val="false"/>
          <w:i w:val="false"/>
          <w:caps w:val="false"/>
          <w:smallCaps w:val="false"/>
          <w:sz w:val="20"/>
        </w:rPr>
        <w:t>185. The following table summarizes the fees billed by KPMG for audit and other services provided to the Company for the fiscal years ended December 31, 2024 and 2023:</w:t>
      </w:r>
    </w:p>
    <w:p>
      <w:pPr>
        <w:pStyle w:val="TextBody"/>
        <w:bidi w:val="0"/>
        <w:ind w:left="0" w:right="0" w:firstLine="72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595"/>
        <w:gridCol w:w="60"/>
        <w:gridCol w:w="125"/>
        <w:gridCol w:w="695"/>
        <w:gridCol w:w="60"/>
        <w:gridCol w:w="60"/>
        <w:gridCol w:w="125"/>
        <w:gridCol w:w="695"/>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672,000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38,445</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710,445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consist of fees for our quarterly reviews and audits of our financial statements, and fees relating to registration statement reviews, consents and comfort letters.</w:t>
            </w:r>
          </w:p>
        </w:tc>
      </w:tr>
      <w:tr>
        <w:trPr/>
        <w:tc>
          <w:tcPr>
            <w:tcW w:w="242"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both"/>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consist of fees for tax compliance services, including preparation and review of tax returns and general tax consulting services.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or its Chairman pre-approves audit and non-audit services to be rendered to the Company and establishes a dollar limit on the amount of fees the Company will pay for each category of services. Generally, management will submit to the Audit Committee a list of services that it recommends the Audit Committee engage the independent registered public accounting firm to provide for the fiscal year. The Audit Committee is informed from time to time of the non-audit services provided pursuant to the pre-approval process. During the year, the Audit Committee periodically reviews the types of services and dollar amounts approved and adjusts such amounts, as it deems appropriate. Unless a service to be provided by the independent registered public accounting firm has received general pre-approval, it will require specific pre-approval by the Audit Committee or its Chairman. Any service pre-approved by the Chairman will be presented to the Audit Committee at its next regularly scheduled meeting. The Audit Committee also periodically reviews all non-audit services to ensure such services do not impair the independence of the Company’s independent registered public accounting firm. All services rendered by KPMG LLP in our fiscal years ended December 31, 2024 and 2023 were pre-approved by our Audit Committee.</w:t>
      </w:r>
    </w:p>
    <w:p>
      <w:pPr>
        <w:pStyle w:val="TextBody"/>
        <w:bidi w:val="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1" w:name="m_021"/>
      <w:bookmarkEnd w:id="81"/>
      <w:r>
        <w:rPr>
          <w:rFonts w:ascii="Times New Roman;Times;Serif" w:hAnsi="Times New Roman;Times;Serif"/>
          <w:b/>
          <w:i w:val="false"/>
          <w:caps w:val="false"/>
          <w:smallCaps w:val="false"/>
          <w:sz w:val="20"/>
        </w:rPr>
        <w:t>PART IV</w:t>
      </w:r>
    </w:p>
    <w:p>
      <w:pPr>
        <w:pStyle w:val="TextBody"/>
        <w:bidi w:val="0"/>
        <w:jc w:val="center"/>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860"/>
        <w:gridCol w:w="5045"/>
      </w:tblGrid>
      <w:tr>
        <w:trPr/>
        <w:tc>
          <w:tcPr>
            <w:tcW w:w="860" w:type="dxa"/>
            <w:tcBorders/>
            <w:vAlign w:val="center"/>
          </w:tcPr>
          <w:p>
            <w:pPr>
              <w:pStyle w:val="TableContents"/>
              <w:bidi w:val="0"/>
              <w:spacing w:before="0" w:after="283"/>
              <w:jc w:val="left"/>
              <w:rPr>
                <w:rFonts w:ascii="Times New Roman;Times;Serif" w:hAnsi="Times New Roman;Times;Serif"/>
                <w:b/>
                <w:sz w:val="20"/>
              </w:rPr>
            </w:pPr>
            <w:bookmarkStart w:id="82" w:name="m_022"/>
            <w:bookmarkEnd w:id="82"/>
            <w:r>
              <w:rPr>
                <w:rFonts w:ascii="Times New Roman;Times;Serif" w:hAnsi="Times New Roman;Times;Serif"/>
                <w:b/>
                <w:sz w:val="20"/>
              </w:rPr>
              <w:t>ITEM 15.</w:t>
            </w:r>
          </w:p>
        </w:tc>
        <w:tc>
          <w:tcPr>
            <w:tcW w:w="5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 AND FINANCIAL STATEMENT SCHEDULES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(a)(1) Financial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Index to Financial Statements on page F-2 for a list of all financial statements filed as part of this annual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(a)(2) Financial Statement Schedules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they are not applicable, not required or the information required is shown in the financial statements or the notes thereto.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Exhibits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7305"/>
        <w:gridCol w:w="60"/>
        <w:gridCol w:w="503"/>
        <w:gridCol w:w="60"/>
        <w:gridCol w:w="654"/>
        <w:gridCol w:w="60"/>
        <w:gridCol w:w="778"/>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16">
              <w:r>
                <w:rPr>
                  <w:rStyle w:val="InternetLink"/>
                  <w:rFonts w:ascii="Times New Roman;Times;Serif" w:hAnsi="Times New Roman;Times;Serif"/>
                  <w:sz w:val="20"/>
                </w:rPr>
                <w:t>Agreement and Plan of Merger, dated August 30, 2021, among Cingulate, Inc., Cingulate Therapeutics LLC, and Cingulate Pharma LLC</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17">
              <w:r>
                <w:rPr>
                  <w:rStyle w:val="InternetLink"/>
                  <w:rFonts w:ascii="Times New Roman;Times;Serif" w:hAnsi="Times New Roman;Times;Serif"/>
                  <w:sz w:val="20"/>
                </w:rPr>
                <w:t>Amended and Restated Certificate of Incorporation of Cingulate Inc., as amended to date</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8/13/2024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18">
              <w:r>
                <w:rPr>
                  <w:rStyle w:val="InternetLink"/>
                  <w:rFonts w:ascii="Times New Roman;Times;Serif" w:hAnsi="Times New Roman;Times;Serif"/>
                  <w:sz w:val="20"/>
                </w:rPr>
                <w:t>Amended and Restated Bylaws of Cingulate Inc.</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3/28/2022</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19">
              <w:r>
                <w:rPr>
                  <w:rStyle w:val="InternetLink"/>
                  <w:rFonts w:ascii="Times New Roman;Times;Serif" w:hAnsi="Times New Roman;Times;Serif"/>
                  <w:sz w:val="20"/>
                </w:rPr>
                <w:t>Specimen Certificate representing shares of common stock of Cingulate Inc.</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0">
              <w:r>
                <w:rPr>
                  <w:rStyle w:val="InternetLink"/>
                  <w:rFonts w:ascii="Times New Roman;Times;Serif" w:hAnsi="Times New Roman;Times;Serif"/>
                  <w:sz w:val="20"/>
                </w:rPr>
                <w:t>Form of Underwriter Common Stock Purchase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11/10/2021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1">
              <w:r>
                <w:rPr>
                  <w:rStyle w:val="InternetLink"/>
                  <w:rFonts w:ascii="Times New Roman;Times;Serif" w:hAnsi="Times New Roman;Times;Serif"/>
                  <w:sz w:val="20"/>
                </w:rPr>
                <w:t>Form of Common Stock Purchase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2">
              <w:r>
                <w:rPr>
                  <w:rStyle w:val="InternetLink"/>
                  <w:rFonts w:ascii="Times New Roman;Times;Serif" w:hAnsi="Times New Roman;Times;Serif"/>
                  <w:sz w:val="20"/>
                </w:rPr>
                <w:t>Form of Warrant Agent Agreement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w:anchor="ex4-5.htm">
              <w:r>
                <w:rPr>
                  <w:rStyle w:val="InternetLink"/>
                  <w:rFonts w:ascii="Times New Roman;Times;Serif" w:hAnsi="Times New Roman;Times;Serif"/>
                  <w:sz w:val="20"/>
                </w:rPr>
                <w:t>Description of Cingulate Inc. Securities</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3">
              <w:r>
                <w:rPr>
                  <w:rStyle w:val="InternetLink"/>
                  <w:rFonts w:ascii="Times New Roman;Times;Serif" w:hAnsi="Times New Roman;Times;Serif"/>
                  <w:sz w:val="20"/>
                </w:rPr>
                <w:t xml:space="preserve">Form of September 2023 Series A Warrant </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8/29/2023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4">
              <w:r>
                <w:rPr>
                  <w:rStyle w:val="InternetLink"/>
                  <w:rFonts w:ascii="Times New Roman;Times;Serif" w:hAnsi="Times New Roman;Times;Serif"/>
                  <w:sz w:val="20"/>
                </w:rPr>
                <w:t>Form of September 2023 Series B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8/29/2023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5">
              <w:r>
                <w:rPr>
                  <w:rStyle w:val="InternetLink"/>
                  <w:rFonts w:ascii="Times New Roman;Times;Serif" w:hAnsi="Times New Roman;Times;Serif"/>
                  <w:sz w:val="20"/>
                </w:rPr>
                <w:t>Form of September 2023 Placement Agent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8/29/2023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6">
              <w:r>
                <w:rPr>
                  <w:rStyle w:val="InternetLink"/>
                  <w:rFonts w:ascii="Times New Roman;Times;Serif" w:hAnsi="Times New Roman;Times;Serif"/>
                  <w:sz w:val="20"/>
                </w:rPr>
                <w:t>Form of September 2023 WFIA Pre-Funded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9/11/2023</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7">
              <w:r>
                <w:rPr>
                  <w:rStyle w:val="InternetLink"/>
                  <w:rFonts w:ascii="Times New Roman;Times;Serif" w:hAnsi="Times New Roman;Times;Serif"/>
                  <w:sz w:val="20"/>
                </w:rPr>
                <w:t>Form of January 2024 WFIA Pre-Funded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4.11</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8">
              <w:r>
                <w:rPr>
                  <w:rStyle w:val="InternetLink"/>
                  <w:rFonts w:ascii="Times New Roman;Times;Serif" w:hAnsi="Times New Roman;Times;Serif"/>
                  <w:sz w:val="20"/>
                </w:rPr>
                <w:t>Form of February 2024 Series A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29">
              <w:r>
                <w:rPr>
                  <w:rStyle w:val="InternetLink"/>
                  <w:rFonts w:ascii="Times New Roman;Times;Serif" w:hAnsi="Times New Roman;Times;Serif"/>
                  <w:sz w:val="20"/>
                </w:rPr>
                <w:t>Form of February 2024 Series B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4.13</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0">
              <w:r>
                <w:rPr>
                  <w:rStyle w:val="InternetLink"/>
                  <w:rFonts w:ascii="Times New Roman;Times;Serif" w:hAnsi="Times New Roman;Times;Serif"/>
                  <w:sz w:val="20"/>
                </w:rPr>
                <w:t>Form of February 2024 Placement Agent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4.14</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1">
              <w:r>
                <w:rPr>
                  <w:rStyle w:val="InternetLink"/>
                  <w:rFonts w:ascii="Times New Roman;Times;Serif" w:hAnsi="Times New Roman;Times;Serif"/>
                  <w:sz w:val="20"/>
                </w:rPr>
                <w:t>Form of March 2024 WFIA Pre-Funded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4.16 </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4/1/2024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4.15</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2">
              <w:r>
                <w:rPr>
                  <w:rStyle w:val="InternetLink"/>
                  <w:rFonts w:ascii="Times New Roman;Times;Serif" w:hAnsi="Times New Roman;Times;Serif"/>
                  <w:sz w:val="20"/>
                </w:rPr>
                <w:t>Form of July 2024 Series C/D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4.16</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3">
              <w:r>
                <w:rPr>
                  <w:rStyle w:val="InternetLink"/>
                  <w:rFonts w:ascii="Times New Roman;Times;Serif" w:hAnsi="Times New Roman;Times;Serif"/>
                  <w:sz w:val="20"/>
                </w:rPr>
                <w:t>Form of July 2024 Placement Agenet Warrant</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4.17</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4">
              <w:r>
                <w:rPr>
                  <w:rStyle w:val="InternetLink"/>
                  <w:rFonts w:ascii="Times New Roman;Times;Serif" w:hAnsi="Times New Roman;Times;Serif"/>
                  <w:sz w:val="20"/>
                </w:rPr>
                <w:t>Promissory Note issued to Streeterville Capital, LLC, dated December 20, 2024</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12/23/2024</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5">
              <w:r>
                <w:rPr>
                  <w:rStyle w:val="InternetLink"/>
                  <w:rFonts w:ascii="Times New Roman;Times;Serif" w:hAnsi="Times New Roman;Times;Serif"/>
                  <w:sz w:val="20"/>
                </w:rPr>
                <w:t>Patent and Know-How License Agreement, dated August 8, 2018, between BDD Pharma Limited, Cingulate Therapeutics LLC and Drug Delivery International Limited</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6">
              <w:r>
                <w:rPr>
                  <w:rStyle w:val="InternetLink"/>
                  <w:rFonts w:ascii="Times New Roman;Times;Serif" w:hAnsi="Times New Roman;Times;Serif"/>
                  <w:sz w:val="20"/>
                </w:rPr>
                <w:t>Master Services Agreement between Cingulate Therapeutics LLC and Societal CDMO, Inc., dated October 24, 2022</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10/25/2022</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w:anchor="ex10-3.htm">
              <w:r>
                <w:rPr>
                  <w:rStyle w:val="InternetLink"/>
                  <w:rFonts w:ascii="Times New Roman;Times;Serif" w:hAnsi="Times New Roman;Times;Serif"/>
                  <w:sz w:val="20"/>
                </w:rPr>
                <w:t>Amendment No. 1 to Master Services Agreement, effective February 12, 2025, between Cingulate Therapeutics LLC and Societal CDMO, Inc. (DBA Bend Bioscience)</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7">
              <w:r>
                <w:rPr>
                  <w:rStyle w:val="InternetLink"/>
                  <w:rFonts w:ascii="Times New Roman;Times;Serif" w:hAnsi="Times New Roman;Times;Serif"/>
                  <w:sz w:val="20"/>
                </w:rPr>
                <w:t>Employment Agreement, dated September 23, 2021, between Cingulate Therapeutics LLC and Shane J. Schaffer</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9/27/2021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8">
              <w:r>
                <w:rPr>
                  <w:rStyle w:val="InternetLink"/>
                  <w:rFonts w:ascii="Times New Roman;Times;Serif" w:hAnsi="Times New Roman;Times;Serif"/>
                  <w:sz w:val="20"/>
                </w:rPr>
                <w:t>Employment Agreement, dated September 23, 2021, between Cingulate Therapeutics LLC and Matthew N. Brams</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9/27/2021</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39">
              <w:r>
                <w:rPr>
                  <w:rStyle w:val="InternetLink"/>
                  <w:rFonts w:ascii="Times New Roman;Times;Serif" w:hAnsi="Times New Roman;Times;Serif"/>
                  <w:sz w:val="20"/>
                </w:rPr>
                <w:t>Amendment to Employment Agreement, effective January 1, 2025, between Cingulate Therapeutics LLC and Matthew N. Brams</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1/24/2025</w:t>
            </w:r>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60" w:type="dxa"/>
            <w:tcBorders/>
            <w:vAlign w:val="center"/>
          </w:tcPr>
          <w:p>
            <w:pPr>
              <w:pStyle w:val="TableContents"/>
              <w:bidi w:val="0"/>
              <w:spacing w:before="0" w:after="283"/>
              <w:jc w:val="left"/>
              <w:rPr/>
            </w:pPr>
            <w:r>
              <w:rPr/>
              <w:t> </w:t>
            </w:r>
          </w:p>
        </w:tc>
        <w:tc>
          <w:tcPr>
            <w:tcW w:w="7305" w:type="dxa"/>
            <w:tcBorders/>
            <w:vAlign w:val="center"/>
          </w:tcPr>
          <w:p>
            <w:pPr>
              <w:pStyle w:val="TableContents"/>
              <w:bidi w:val="0"/>
              <w:spacing w:before="0" w:after="283"/>
              <w:jc w:val="both"/>
              <w:rPr/>
            </w:pPr>
            <w:hyperlink r:id="rId40">
              <w:r>
                <w:rPr>
                  <w:rStyle w:val="InternetLink"/>
                  <w:rFonts w:ascii="Times New Roman;Times;Serif" w:hAnsi="Times New Roman;Times;Serif"/>
                  <w:sz w:val="20"/>
                </w:rPr>
                <w:t>Employment Agreement, dated September 23, 2021, between Cingulate Therapeutics LLC and Laurie A. Myers</w:t>
              </w:r>
            </w:hyperlink>
          </w:p>
        </w:tc>
        <w:tc>
          <w:tcPr>
            <w:tcW w:w="60"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6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9/27/2021</w:t>
            </w:r>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
        <w:gridCol w:w="60"/>
        <w:gridCol w:w="7784"/>
        <w:gridCol w:w="60"/>
        <w:gridCol w:w="394"/>
        <w:gridCol w:w="60"/>
        <w:gridCol w:w="485"/>
        <w:gridCol w:w="60"/>
        <w:gridCol w:w="746"/>
      </w:tblGrid>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1">
              <w:r>
                <w:rPr>
                  <w:rStyle w:val="InternetLink"/>
                  <w:rFonts w:ascii="Times New Roman;Times;Serif" w:hAnsi="Times New Roman;Times;Serif"/>
                  <w:sz w:val="20"/>
                </w:rPr>
                <w:t>Employment Agreement, dated September 23, 2021, between Cingulate Therapeutics LLC and Raul R. Silva</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9/27/2021</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2">
              <w:r>
                <w:rPr>
                  <w:rStyle w:val="InternetLink"/>
                  <w:rFonts w:ascii="Times New Roman;Times;Serif" w:hAnsi="Times New Roman;Times;Serif"/>
                  <w:sz w:val="20"/>
                </w:rPr>
                <w:t>Amendment to Employment Agreement, effective January 1, 2023, between Cingulate Therapeutics LLC and Raul R. Silva</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10.10</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10.10+</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3">
              <w:r>
                <w:rPr>
                  <w:rStyle w:val="InternetLink"/>
                  <w:rFonts w:ascii="Times New Roman;Times;Serif" w:hAnsi="Times New Roman;Times;Serif"/>
                  <w:sz w:val="20"/>
                </w:rPr>
                <w:t>Amendment to Employment Agreement, effective December 29, 2023, between Cingulate Therapeutics, LLC and Raul A. Silva</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10.11+</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4">
              <w:r>
                <w:rPr>
                  <w:rStyle w:val="InternetLink"/>
                  <w:rFonts w:ascii="Times New Roman;Times;Serif" w:hAnsi="Times New Roman;Times;Serif"/>
                  <w:sz w:val="20"/>
                </w:rPr>
                <w:t>Employment Agreement, dated January 25, 2024, between Cingulate Therapeutics LLC, and Jennifer L. Callahan</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5">
              <w:r>
                <w:rPr>
                  <w:rStyle w:val="InternetLink"/>
                  <w:rFonts w:ascii="Times New Roman;Times;Serif" w:hAnsi="Times New Roman;Times;Serif"/>
                  <w:sz w:val="20"/>
                </w:rPr>
                <w:t>Form of Indemnification Agreement</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10.10</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9/9/2021</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10.13+</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6">
              <w:r>
                <w:rPr>
                  <w:rStyle w:val="InternetLink"/>
                  <w:rFonts w:ascii="Times New Roman;Times;Serif" w:hAnsi="Times New Roman;Times;Serif"/>
                  <w:sz w:val="20"/>
                </w:rPr>
                <w:t>Cingulate Inc. 2021 Omnibus Equity Incentive Plan</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9/27/2021</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10.14+</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7">
              <w:r>
                <w:rPr>
                  <w:rStyle w:val="InternetLink"/>
                  <w:rFonts w:ascii="Times New Roman;Times;Serif" w:hAnsi="Times New Roman;Times;Serif"/>
                  <w:sz w:val="20"/>
                </w:rPr>
                <w:t>Amendment No. 1 to the Cingulate Inc. 2021 Omnibus Equity Incentive Plan</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8/13/2024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10.15+</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8">
              <w:r>
                <w:rPr>
                  <w:rStyle w:val="InternetLink"/>
                  <w:rFonts w:ascii="Times New Roman;Times;Serif" w:hAnsi="Times New Roman;Times;Serif"/>
                  <w:sz w:val="20"/>
                </w:rPr>
                <w:t>Form of Nonqualified Stock Option Award under 2021 Plan</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5/12/2022</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10.16+</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49">
              <w:r>
                <w:rPr>
                  <w:rStyle w:val="InternetLink"/>
                  <w:rFonts w:ascii="Times New Roman;Times;Serif" w:hAnsi="Times New Roman;Times;Serif"/>
                  <w:sz w:val="20"/>
                </w:rPr>
                <w:t>Form of Incentive Stock Option Award under 2021 Plan</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5/12/2022</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10.17+</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0">
              <w:r>
                <w:rPr>
                  <w:rStyle w:val="InternetLink"/>
                  <w:rFonts w:ascii="Times New Roman;Times;Serif" w:hAnsi="Times New Roman;Times;Serif"/>
                  <w:sz w:val="20"/>
                </w:rPr>
                <w:t>Form of Restricted Stock Unit Award under 2021 Plan</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9/27/2021</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10.18+</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1">
              <w:r>
                <w:rPr>
                  <w:rStyle w:val="InternetLink"/>
                  <w:rFonts w:ascii="Times New Roman;Times;Serif" w:hAnsi="Times New Roman;Times;Serif"/>
                  <w:sz w:val="20"/>
                </w:rPr>
                <w:t>Form of Restricted Stock Award under 2021 Plan</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9/27/2021</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10.19</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2">
              <w:r>
                <w:rPr>
                  <w:rStyle w:val="InternetLink"/>
                  <w:rFonts w:ascii="Times New Roman;Times;Serif" w:hAnsi="Times New Roman;Times;Serif"/>
                  <w:sz w:val="20"/>
                </w:rPr>
                <w:t>At The Market Offering Agreement, dated January 3, 2023, by and between Cingulate Inc. and H.C. Wainwright &amp; Co.,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10.20</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3">
              <w:r>
                <w:rPr>
                  <w:rStyle w:val="InternetLink"/>
                  <w:rFonts w:ascii="Times New Roman;Times;Serif" w:hAnsi="Times New Roman;Times;Serif"/>
                  <w:sz w:val="20"/>
                </w:rPr>
                <w:t>Amendment to ATM Agreement, dated May 2, 2023, by and between Cingulate Inc. and H.C. Wainwright &amp; Co.,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5/10/2023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10.21</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4">
              <w:r>
                <w:rPr>
                  <w:rStyle w:val="InternetLink"/>
                  <w:rFonts w:ascii="Times New Roman;Times;Serif" w:hAnsi="Times New Roman;Times;Serif"/>
                  <w:sz w:val="20"/>
                </w:rPr>
                <w:t>Joint Commercialization Agreement, dated March 7, 2023, by and between Cingulate Therapeutics, LLC and Indegene, Inc.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10-K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10.19</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pPr>
            <w:r>
              <w:rPr/>
              <w:t> </w:t>
            </w:r>
            <w:r>
              <w:rPr>
                <w:rFonts w:ascii="Times New Roman;Times;Serif" w:hAnsi="Times New Roman;Times;Serif"/>
                <w:sz w:val="20"/>
              </w:rPr>
              <w:t>3/10/2023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10.22</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5">
              <w:r>
                <w:rPr>
                  <w:rStyle w:val="InternetLink"/>
                  <w:rFonts w:ascii="Times New Roman;Times;Serif" w:hAnsi="Times New Roman;Times;Serif"/>
                  <w:sz w:val="20"/>
                </w:rPr>
                <w:t>Purchase Agreement, dated April 24, 2023, by and between the Company and Lincoln Park Capital Fund,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4/25/2023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10.23</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6">
              <w:r>
                <w:rPr>
                  <w:rStyle w:val="InternetLink"/>
                  <w:rFonts w:ascii="Times New Roman;Times;Serif" w:hAnsi="Times New Roman;Times;Serif"/>
                  <w:sz w:val="20"/>
                </w:rPr>
                <w:t>Registration Rights Agreement, dated April 24, 2023, by and between the Company and Lincoln Park Capital Fund,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4/25/2023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10.24</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7">
              <w:r>
                <w:rPr>
                  <w:rStyle w:val="InternetLink"/>
                  <w:rFonts w:ascii="Times New Roman;Times;Serif" w:hAnsi="Times New Roman;Times;Serif"/>
                  <w:sz w:val="20"/>
                </w:rPr>
                <w:t>Amended and Restated Promissory Note, dated May 9, 2023, between Cingulate Therapeutics, LLC and Werth Family Investment Associates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5/10/2023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8">
              <w:r>
                <w:rPr>
                  <w:rStyle w:val="InternetLink"/>
                  <w:rFonts w:ascii="Times New Roman;Times;Serif" w:hAnsi="Times New Roman;Times;Serif"/>
                  <w:sz w:val="20"/>
                </w:rPr>
                <w:t>Securities Purchase Agreement, dated August 11, 2023, by and between the Company and Werth Family Investment Associates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8/14/2023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10.26</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59">
              <w:r>
                <w:rPr>
                  <w:rStyle w:val="InternetLink"/>
                  <w:rFonts w:ascii="Times New Roman;Times;Serif" w:hAnsi="Times New Roman;Times;Serif"/>
                  <w:sz w:val="20"/>
                </w:rPr>
                <w:t>Form of September 2023 Securities Purchase Agreement</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8/29/2023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60">
              <w:r>
                <w:rPr>
                  <w:rStyle w:val="InternetLink"/>
                  <w:rFonts w:ascii="Times New Roman;Times;Serif" w:hAnsi="Times New Roman;Times;Serif"/>
                  <w:sz w:val="20"/>
                </w:rPr>
                <w:t>Note Conversion Agreement, dated September 8, 2023, by and between the Company, Cingulate Therapeutics, LLC and Werth Family Investment Associates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9/11/2023</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10.28</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61">
              <w:r>
                <w:rPr>
                  <w:rStyle w:val="InternetLink"/>
                  <w:rFonts w:ascii="Times New Roman;Times;Serif" w:hAnsi="Times New Roman;Times;Serif"/>
                  <w:sz w:val="20"/>
                </w:rPr>
                <w:t>Note Conversion Agreement, dated January 25, 2024, by and between the Company, Cingulate Therapeutics, LLC and Werth Family Investment Associates LLC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62">
              <w:r>
                <w:rPr>
                  <w:rStyle w:val="InternetLink"/>
                  <w:rFonts w:ascii="Times New Roman;Times;Serif" w:hAnsi="Times New Roman;Times;Serif"/>
                  <w:sz w:val="20"/>
                </w:rPr>
                <w:t>Form of February 2024 Securities Purchase Agreement</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63">
              <w:r>
                <w:rPr>
                  <w:rStyle w:val="InternetLink"/>
                  <w:rFonts w:ascii="Times New Roman;Times;Serif" w:hAnsi="Times New Roman;Times;Serif"/>
                  <w:sz w:val="20"/>
                </w:rPr>
                <w:t>Form of Inducement Letter, dated June 28, 2024</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64">
              <w:r>
                <w:rPr>
                  <w:rStyle w:val="InternetLink"/>
                  <w:rFonts w:ascii="Times New Roman;Times;Serif" w:hAnsi="Times New Roman;Times;Serif"/>
                  <w:sz w:val="20"/>
                </w:rPr>
                <w:t>Securities Purchase Agreement between Cingulate Inc. and Streeterville Capital, LLC, dated December 20, 2024</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12/23/2024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10.32</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65">
              <w:r>
                <w:rPr>
                  <w:rStyle w:val="InternetLink"/>
                  <w:rFonts w:ascii="Times New Roman;Times;Serif" w:hAnsi="Times New Roman;Times;Serif"/>
                  <w:sz w:val="20"/>
                </w:rPr>
                <w:t>Guaranty by Cingulate Therapeutics LLC and Cingulate Works, Inc., dated December 20, 2024</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12/23/2024</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w:anchor="ex19.htm">
              <w:r>
                <w:rPr>
                  <w:rStyle w:val="InternetLink"/>
                  <w:rFonts w:ascii="Times New Roman;Times;Serif" w:hAnsi="Times New Roman;Times;Serif"/>
                  <w:sz w:val="20"/>
                </w:rPr>
                <w:t>Cingulate Inc. Statement of Company Policy on Insider Trading and Policy Regarding Special Trading Procedures</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pPr>
            <w:r>
              <w:rPr/>
              <w:t> </w:t>
            </w:r>
          </w:p>
        </w:tc>
      </w:tr>
      <w:tr>
        <w:trPr/>
        <w:tc>
          <w:tcPr>
            <w:tcW w:w="55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21.1</w:t>
            </w:r>
          </w:p>
        </w:tc>
        <w:tc>
          <w:tcPr>
            <w:tcW w:w="60" w:type="dxa"/>
            <w:tcBorders/>
            <w:vAlign w:val="center"/>
          </w:tcPr>
          <w:p>
            <w:pPr>
              <w:pStyle w:val="TableContents"/>
              <w:bidi w:val="0"/>
              <w:spacing w:before="0" w:after="283"/>
              <w:jc w:val="left"/>
              <w:rPr/>
            </w:pPr>
            <w:r>
              <w:rPr/>
              <w:t> </w:t>
            </w:r>
          </w:p>
        </w:tc>
        <w:tc>
          <w:tcPr>
            <w:tcW w:w="7784" w:type="dxa"/>
            <w:tcBorders/>
            <w:vAlign w:val="center"/>
          </w:tcPr>
          <w:p>
            <w:pPr>
              <w:pStyle w:val="TableContents"/>
              <w:bidi w:val="0"/>
              <w:spacing w:before="0" w:after="283"/>
              <w:jc w:val="both"/>
              <w:rPr/>
            </w:pPr>
            <w:hyperlink r:id="rId66">
              <w:r>
                <w:rPr>
                  <w:rStyle w:val="InternetLink"/>
                  <w:rFonts w:ascii="Times New Roman;Times;Serif" w:hAnsi="Times New Roman;Times;Serif"/>
                  <w:sz w:val="20"/>
                </w:rPr>
                <w:t>List of Subsidiaries of Cingulate Inc.</w:t>
              </w:r>
            </w:hyperlink>
          </w:p>
        </w:tc>
        <w:tc>
          <w:tcPr>
            <w:tcW w:w="6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21.1</w:t>
            </w:r>
          </w:p>
        </w:tc>
        <w:tc>
          <w:tcPr>
            <w:tcW w:w="60"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4/1/2024</w:t>
            </w:r>
          </w:p>
        </w:tc>
      </w:tr>
    </w:tbl>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1"/>
        <w:gridCol w:w="60"/>
        <w:gridCol w:w="7982"/>
        <w:gridCol w:w="60"/>
        <w:gridCol w:w="369"/>
        <w:gridCol w:w="60"/>
        <w:gridCol w:w="380"/>
        <w:gridCol w:w="60"/>
        <w:gridCol w:w="603"/>
      </w:tblGrid>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pPr>
            <w:hyperlink w:anchor="ex23-1.htm">
              <w:r>
                <w:rPr>
                  <w:rStyle w:val="InternetLink"/>
                  <w:rFonts w:ascii="Times New Roman;Times;Serif" w:hAnsi="Times New Roman;Times;Serif"/>
                  <w:sz w:val="20"/>
                </w:rPr>
                <w:t>Consent of Independent Registered Public Accounting Firm</w:t>
              </w:r>
            </w:hyperlink>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24.1*</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pPr>
            <w:hyperlink w:anchor="ex24-1.htm">
              <w:r>
                <w:rPr>
                  <w:rStyle w:val="InternetLink"/>
                  <w:rFonts w:ascii="Times New Roman;Times;Serif" w:hAnsi="Times New Roman;Times;Serif"/>
                  <w:sz w:val="20"/>
                </w:rPr>
                <w:t>Power of Attorney</w:t>
              </w:r>
            </w:hyperlink>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pPr>
            <w:hyperlink w:anchor="ex31-1.htm">
              <w:r>
                <w:rPr>
                  <w:rStyle w:val="InternetLink"/>
                  <w:rFonts w:ascii="Times New Roman;Times;Serif" w:hAnsi="Times New Roman;Times;Serif"/>
                  <w:sz w:val="20"/>
                </w:rPr>
                <w:t>Certification of Principal Executive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pPr>
            <w:hyperlink w:anchor="ex31-2.htm">
              <w:r>
                <w:rPr>
                  <w:rStyle w:val="InternetLink"/>
                  <w:rFonts w:ascii="Times New Roman;Times;Serif" w:hAnsi="Times New Roman;Times;Serif"/>
                  <w:sz w:val="20"/>
                </w:rPr>
                <w:t>Certification of Principal Financial Officer Pursuant to Rules 13a-14(a) and 15d-14(a) under the Securities Exchange Act of 1934,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pPr>
            <w:hyperlink w:anchor="ex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pPr>
            <w:hyperlink w:anchor="ex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97.1</w:t>
            </w:r>
          </w:p>
        </w:tc>
        <w:tc>
          <w:tcPr>
            <w:tcW w:w="60" w:type="dxa"/>
            <w:tcBorders/>
            <w:vAlign w:val="center"/>
          </w:tcPr>
          <w:p>
            <w:pPr>
              <w:pStyle w:val="TableContents"/>
              <w:bidi w:val="0"/>
              <w:spacing w:before="0" w:after="283"/>
              <w:jc w:val="left"/>
              <w:rPr/>
            </w:pPr>
            <w:r>
              <w:rPr/>
              <w:t> </w:t>
            </w:r>
          </w:p>
        </w:tc>
        <w:tc>
          <w:tcPr>
            <w:tcW w:w="7982" w:type="dxa"/>
            <w:tcBorders/>
            <w:vAlign w:val="center"/>
          </w:tcPr>
          <w:p>
            <w:pPr>
              <w:pStyle w:val="TableContents"/>
              <w:bidi w:val="0"/>
              <w:spacing w:before="0" w:after="283"/>
              <w:jc w:val="both"/>
              <w:rPr/>
            </w:pPr>
            <w:hyperlink r:id="rId67">
              <w:r>
                <w:rPr>
                  <w:rStyle w:val="InternetLink"/>
                  <w:rFonts w:ascii="Times New Roman;Times;Serif" w:hAnsi="Times New Roman;Times;Serif"/>
                  <w:sz w:val="20"/>
                </w:rPr>
                <w:t>Cingulate Inc. Compensation Recovery Policy</w:t>
              </w:r>
            </w:hyperlink>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97.1</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4/1/2024</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w:t>
            </w:r>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Extension Calculation Linkbase</w:t>
            </w:r>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w:t>
            </w:r>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w:t>
            </w:r>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w:t>
            </w:r>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r>
        <w:trPr/>
        <w:tc>
          <w:tcPr>
            <w:tcW w:w="63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center"/>
              <w:rPr/>
            </w:pPr>
            <w:r>
              <w:rPr/>
              <w:t> </w:t>
            </w:r>
          </w:p>
        </w:tc>
        <w:tc>
          <w:tcPr>
            <w:tcW w:w="7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c>
          <w:tcPr>
            <w:tcW w:w="6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center"/>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Annexes, schedules and/or exhibits have been omitted pursuant to Item 601(a)(5) of Regulation S-K. The Registrant hereby undertakes to furnish supplementally a copy of any of the omitted schedules and exhibits to the SEC on a confidential basis upon request.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have been omitted because (i) the registrant customarily and actually treats that information as private or confidential and (ii) the omitted information is not material.</w:t>
      </w:r>
    </w:p>
    <w:p>
      <w:pPr>
        <w:pStyle w:val="TextBody"/>
        <w:bidi w:val="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860"/>
        <w:gridCol w:w="2135"/>
      </w:tblGrid>
      <w:tr>
        <w:trPr/>
        <w:tc>
          <w:tcPr>
            <w:tcW w:w="860" w:type="dxa"/>
            <w:tcBorders/>
            <w:vAlign w:val="center"/>
          </w:tcPr>
          <w:p>
            <w:pPr>
              <w:pStyle w:val="TableContents"/>
              <w:bidi w:val="0"/>
              <w:spacing w:before="0" w:after="283"/>
              <w:jc w:val="left"/>
              <w:rPr>
                <w:rFonts w:ascii="Times New Roman;Times;Serif" w:hAnsi="Times New Roman;Times;Serif"/>
                <w:b/>
                <w:sz w:val="20"/>
              </w:rPr>
            </w:pPr>
            <w:bookmarkStart w:id="83" w:name="m_023"/>
            <w:bookmarkEnd w:id="83"/>
            <w:r>
              <w:rPr>
                <w:rFonts w:ascii="Times New Roman;Times;Serif" w:hAnsi="Times New Roman;Times;Serif"/>
                <w:b/>
                <w:sz w:val="20"/>
              </w:rPr>
              <w:t>ITEM 16.</w:t>
            </w:r>
          </w:p>
        </w:tc>
        <w:tc>
          <w:tcPr>
            <w:tcW w:w="21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 10-K SUMMARY</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4" w:name="m_024"/>
      <w:bookmarkEnd w:id="84"/>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Sections 13 or 15(d) of the Securities Exchange Act of 1934, as amended, the registrant has duly caused this report to be signed on its behalf on the date set forth below by the undersigned thereunto duly authorized.</w:t>
      </w:r>
    </w:p>
    <w:p>
      <w:pPr>
        <w:pStyle w:val="TextBody"/>
        <w:bidi w:val="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850"/>
        <w:gridCol w:w="365"/>
        <w:gridCol w:w="5030"/>
      </w:tblGrid>
      <w:tr>
        <w:trPr/>
        <w:tc>
          <w:tcPr>
            <w:tcW w:w="1850"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CINGULATE INC.</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27, 2025</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Shane J. Schaffer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Shane J. Schaffer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27, 2025</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Jennifer L. Callahan</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 Callahan</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report has been signed below by the following persons on behalf of the registrant and in the capacities and on the dates indicated.</w:t>
      </w:r>
    </w:p>
    <w:p>
      <w:pPr>
        <w:pStyle w:val="TextBody"/>
        <w:bidi w:val="0"/>
        <w:jc w:val="left"/>
        <w:rPr>
          <w:caps w:val="false"/>
          <w:smallCaps w:val="false"/>
        </w:rPr>
      </w:pPr>
      <w:r>
        <w:rPr>
          <w:caps w:val="false"/>
          <w:smallCaps w:val="false"/>
        </w:rPr>
        <w:t> </w:t>
      </w:r>
    </w:p>
    <w:tbl>
      <w:tblPr>
        <w:tblW w:w="8430" w:type="dxa"/>
        <w:jc w:val="left"/>
        <w:tblInd w:w="0" w:type="dxa"/>
        <w:tblLayout w:type="fixed"/>
        <w:tblCellMar>
          <w:top w:w="0" w:type="dxa"/>
          <w:left w:w="0" w:type="dxa"/>
          <w:bottom w:w="28" w:type="dxa"/>
          <w:right w:w="0" w:type="dxa"/>
        </w:tblCellMar>
      </w:tblPr>
      <w:tblGrid>
        <w:gridCol w:w="1970"/>
        <w:gridCol w:w="60"/>
        <w:gridCol w:w="5015"/>
        <w:gridCol w:w="60"/>
        <w:gridCol w:w="1325"/>
      </w:tblGrid>
      <w:tr>
        <w:trPr/>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Shane J. Schaffer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2025</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Shane J. Schaffer</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Jennifer L. Callahan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2025</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 Callahan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Jeffrey S. Ervin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2025</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S. Ervin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Bryan Lawrence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2025</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Lawrence</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John A. Roberts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2025</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A. Roberts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Peter J. Werth</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27, 2025</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J. Werth</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641" w:type="dxa"/>
        <w:jc w:val="left"/>
        <w:tblInd w:w="0" w:type="dxa"/>
        <w:tblLayout w:type="fixed"/>
        <w:tblCellMar>
          <w:top w:w="0" w:type="dxa"/>
          <w:left w:w="0" w:type="dxa"/>
          <w:bottom w:w="0" w:type="dxa"/>
          <w:right w:w="0" w:type="dxa"/>
        </w:tblCellMar>
      </w:tblPr>
      <w:tblGrid>
        <w:gridCol w:w="1431"/>
        <w:gridCol w:w="2210"/>
      </w:tblGrid>
      <w:tr>
        <w:trPr/>
        <w:tc>
          <w:tcPr>
            <w:tcW w:w="1431" w:type="dxa"/>
            <w:vMerge w:val="restart"/>
            <w:tcBorders/>
            <w:vAlign w:val="center"/>
          </w:tcPr>
          <w:p>
            <w:pPr>
              <w:pStyle w:val="TableContents"/>
              <w:bidi w:val="0"/>
              <w:spacing w:before="0" w:after="283"/>
              <w:jc w:val="left"/>
              <w:rPr/>
            </w:pPr>
            <w:r>
              <w:rPr/>
              <w:drawing>
                <wp:inline distT="0" distB="0" distL="0" distR="0">
                  <wp:extent cx="899160" cy="3657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68"/>
                          <a:stretch>
                            <a:fillRect/>
                          </a:stretch>
                        </pic:blipFill>
                        <pic:spPr bwMode="auto">
                          <a:xfrm>
                            <a:off x="0" y="0"/>
                            <a:ext cx="899160" cy="365760"/>
                          </a:xfrm>
                          <a:prstGeom prst="rect">
                            <a:avLst/>
                          </a:prstGeom>
                        </pic:spPr>
                      </pic:pic>
                    </a:graphicData>
                  </a:graphic>
                </wp:inline>
              </w:drawing>
            </w:r>
          </w:p>
        </w:tc>
        <w:tc>
          <w:tcPr>
            <w:tcW w:w="2210" w:type="dxa"/>
            <w:tcBorders/>
            <w:vAlign w:val="center"/>
          </w:tcPr>
          <w:p>
            <w:pPr>
              <w:pStyle w:val="TableContents"/>
              <w:bidi w:val="0"/>
              <w:spacing w:before="0" w:after="283"/>
              <w:jc w:val="left"/>
              <w:rPr>
                <w:rFonts w:ascii="Times New Roman;Times;Serif" w:hAnsi="Times New Roman;Times;Serif"/>
                <w:sz w:val="20"/>
              </w:rPr>
            </w:pPr>
            <w:bookmarkStart w:id="85" w:name="xdx_902_edei--AuditorName_c20240101__202"/>
            <w:bookmarkEnd w:id="85"/>
            <w:r>
              <w:rPr>
                <w:rFonts w:ascii="Times New Roman;Times;Serif" w:hAnsi="Times New Roman;Times;Serif"/>
                <w:sz w:val="20"/>
              </w:rPr>
              <w:t>KPMG LLP</w:t>
            </w:r>
          </w:p>
        </w:tc>
      </w:tr>
      <w:tr>
        <w:trPr/>
        <w:tc>
          <w:tcPr>
            <w:tcW w:w="1431" w:type="dxa"/>
            <w:vMerge w:val="continue"/>
            <w:tcBorders/>
            <w:vAlign w:val="center"/>
          </w:tcPr>
          <w:p>
            <w:pPr>
              <w:pStyle w:val="Normal"/>
              <w:bidi w:val="0"/>
              <w:jc w:val="left"/>
              <w:rPr/>
            </w:pPr>
            <w:r>
              <w:rPr/>
            </w:r>
          </w:p>
        </w:tc>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900</w:t>
            </w:r>
          </w:p>
        </w:tc>
      </w:tr>
      <w:tr>
        <w:trPr/>
        <w:tc>
          <w:tcPr>
            <w:tcW w:w="1431" w:type="dxa"/>
            <w:vMerge w:val="continue"/>
            <w:tcBorders/>
            <w:vAlign w:val="center"/>
          </w:tcPr>
          <w:p>
            <w:pPr>
              <w:pStyle w:val="Normal"/>
              <w:bidi w:val="0"/>
              <w:jc w:val="left"/>
              <w:rPr/>
            </w:pPr>
            <w:r>
              <w:rPr/>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South Broadway</w:t>
            </w:r>
          </w:p>
        </w:tc>
      </w:tr>
      <w:tr>
        <w:trPr/>
        <w:tc>
          <w:tcPr>
            <w:tcW w:w="1431" w:type="dxa"/>
            <w:vMerge w:val="continue"/>
            <w:tcBorders/>
            <w:vAlign w:val="center"/>
          </w:tcPr>
          <w:p>
            <w:pPr>
              <w:pStyle w:val="Normal"/>
              <w:bidi w:val="0"/>
              <w:jc w:val="left"/>
              <w:rPr/>
            </w:pPr>
            <w:r>
              <w:rPr/>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6" w:name="xdx_901_edei--AuditorLocation_c20240101_"/>
            <w:bookmarkEnd w:id="86"/>
            <w:r>
              <w:rPr>
                <w:rFonts w:ascii="Times New Roman;Times;Serif" w:hAnsi="Times New Roman;Times;Serif"/>
                <w:b w:val="false"/>
                <w:i w:val="false"/>
                <w:caps w:val="false"/>
                <w:smallCaps w:val="false"/>
                <w:sz w:val="20"/>
              </w:rPr>
              <w:t>St. Louis, MO 63102-1761</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Opinion on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Cingulate Inc. and subsidiaries (the Company) as of December 31, 2024 and 2023, the related consolidated statements of operations and comprehensive loss, stockholders’ equity, and cash flows for each of the years in the two-year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inception and will need additional funding for operations and product development, all of which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57300" cy="266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69"/>
                    <a:stretch>
                      <a:fillRect/>
                    </a:stretch>
                  </pic:blipFill>
                  <pic:spPr bwMode="auto">
                    <a:xfrm>
                      <a:off x="0" y="0"/>
                      <a:ext cx="1257300" cy="266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w:t>
        <w:br/>
        <w:t>March 27, 2025</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0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 a Delaware limited liability partnership and a member firm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 and 2023</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 w:name="xdx_307_111_zqy0WblZiDu1"/>
      <w:bookmarkStart w:id="88" w:name="xdx_307_111_zqy0WblZiDu1"/>
      <w:bookmarkEnd w:id="88"/>
    </w:p>
    <w:tbl>
      <w:tblPr>
        <w:tblW w:w="10205" w:type="dxa"/>
        <w:jc w:val="left"/>
        <w:tblInd w:w="0" w:type="dxa"/>
        <w:tblLayout w:type="fixed"/>
        <w:tblCellMar>
          <w:top w:w="0" w:type="dxa"/>
          <w:left w:w="0" w:type="dxa"/>
          <w:bottom w:w="0" w:type="dxa"/>
          <w:right w:w="0" w:type="dxa"/>
        </w:tblCellMar>
      </w:tblPr>
      <w:tblGrid>
        <w:gridCol w:w="6965"/>
        <w:gridCol w:w="60"/>
        <w:gridCol w:w="140"/>
        <w:gridCol w:w="1295"/>
        <w:gridCol w:w="95"/>
        <w:gridCol w:w="60"/>
        <w:gridCol w:w="140"/>
        <w:gridCol w:w="1175"/>
        <w:gridCol w:w="275"/>
      </w:tblGrid>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6_20241231_z2EEkvbU17k6"/>
            <w:bookmarkEnd w:id="89"/>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 w:name="xdx_49A_20231231_zPGdVNVXiAch"/>
            <w:bookmarkEnd w:id="90"/>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75" w:type="dxa"/>
            <w:tcBorders/>
            <w:vAlign w:val="center"/>
          </w:tcPr>
          <w:p>
            <w:pPr>
              <w:pStyle w:val="TableContents"/>
              <w:bidi w:val="0"/>
              <w:spacing w:before="0" w:after="283"/>
              <w:jc w:val="left"/>
              <w:rPr/>
            </w:pPr>
            <w:r>
              <w:rPr/>
              <w:t> </w:t>
            </w:r>
            <w:bookmarkStart w:id="91" w:name="xdx_40A_eus-gaap--AssetsAbstract_iB_zj1n"/>
            <w:bookmarkEnd w:id="91"/>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92" w:name="xdx_40C_eus-gaap--AssetsCurrentAbstract_"/>
            <w:bookmarkEnd w:id="92"/>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bookmarkStart w:id="93" w:name="xdx_40A_eus-gaap--CashAndCashEquivalents"/>
            <w:bookmarkEnd w:id="93"/>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12,211,321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52,416</w:t>
            </w:r>
          </w:p>
        </w:tc>
        <w:tc>
          <w:tcPr>
            <w:tcW w:w="275" w:type="dxa"/>
            <w:tcBorders/>
            <w:shd w:fill="FFFFFF" w:val="clear"/>
            <w:vAlign w:val="center"/>
          </w:tcPr>
          <w:p>
            <w:pPr>
              <w:pStyle w:val="TableContents"/>
              <w:bidi w:val="0"/>
              <w:spacing w:before="0" w:after="283"/>
              <w:ind w:left="0" w:right="0" w:firstLine="200"/>
              <w:jc w:val="left"/>
              <w:rPr/>
            </w:pPr>
            <w:r>
              <w:rPr/>
              <w:t> </w:t>
            </w:r>
            <w:bookmarkStart w:id="94" w:name="xdx_40B_eus-gaap--OtherAssetsMiscellaneo"/>
            <w:bookmarkEnd w:id="94"/>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275" w:type="dxa"/>
            <w:tcBorders/>
            <w:shd w:fill="CCEEFF" w:val="clear"/>
            <w:vAlign w:val="center"/>
          </w:tcPr>
          <w:p>
            <w:pPr>
              <w:pStyle w:val="TableContents"/>
              <w:bidi w:val="0"/>
              <w:spacing w:before="0" w:after="283"/>
              <w:ind w:left="0" w:right="0" w:firstLine="200"/>
              <w:jc w:val="left"/>
              <w:rPr/>
            </w:pPr>
            <w:r>
              <w:rPr/>
              <w:t> </w:t>
            </w:r>
            <w:bookmarkStart w:id="95" w:name="xdx_407_eus-gaap--PrepaidExpenseAndOther"/>
            <w:bookmarkEnd w:id="95"/>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511,556</w:t>
            </w:r>
          </w:p>
        </w:tc>
        <w:tc>
          <w:tcPr>
            <w:tcW w:w="275" w:type="dxa"/>
            <w:tcBorders/>
            <w:shd w:fill="FFFFFF" w:val="clear"/>
            <w:vAlign w:val="center"/>
          </w:tcPr>
          <w:p>
            <w:pPr>
              <w:pStyle w:val="TableContents"/>
              <w:bidi w:val="0"/>
              <w:spacing w:before="0" w:after="283"/>
              <w:jc w:val="left"/>
              <w:rPr/>
            </w:pPr>
            <w:r>
              <w:rPr/>
              <w:t> </w:t>
            </w:r>
            <w:bookmarkStart w:id="96" w:name="xdx_407_eus-gaap--AssetsCurrent_i02TI_mt"/>
            <w:bookmarkEnd w:id="96"/>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12,660,803</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578,594</w:t>
            </w:r>
          </w:p>
        </w:tc>
        <w:tc>
          <w:tcPr>
            <w:tcW w:w="2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97" w:name="xdx_407_eus-gaap--PropertyPlantAndEquipm"/>
            <w:bookmarkEnd w:id="97"/>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2,104,675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2,545,965</w:t>
            </w:r>
          </w:p>
        </w:tc>
        <w:tc>
          <w:tcPr>
            <w:tcW w:w="275" w:type="dxa"/>
            <w:tcBorders/>
            <w:shd w:fill="CCEEFF" w:val="clear"/>
            <w:vAlign w:val="center"/>
          </w:tcPr>
          <w:p>
            <w:pPr>
              <w:pStyle w:val="TableContents"/>
              <w:bidi w:val="0"/>
              <w:spacing w:before="0" w:after="283"/>
              <w:jc w:val="left"/>
              <w:rPr/>
            </w:pPr>
            <w:r>
              <w:rPr/>
              <w:t> </w:t>
            </w:r>
            <w:bookmarkStart w:id="98" w:name="xdx_40C_eus-gaap--OperatingLeaseRightOfU"/>
            <w:bookmarkEnd w:id="98"/>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366,877</w:t>
            </w:r>
          </w:p>
        </w:tc>
        <w:tc>
          <w:tcPr>
            <w:tcW w:w="2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99" w:name="xdx_40B_eus-gaap--Assets_i01TI_mtCzcOE_z"/>
            <w:bookmarkEnd w:id="99"/>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14,864,489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3,491,436</w:t>
            </w:r>
          </w:p>
        </w:tc>
        <w:tc>
          <w:tcPr>
            <w:tcW w:w="2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00" w:name="xdx_40C_eus-gaap--LiabilitiesAndStockhol"/>
            <w:bookmarkEnd w:id="100"/>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01" w:name="xdx_40D_eus-gaap--LiabilitiesCurrentAbst"/>
            <w:bookmarkEnd w:id="101"/>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bookmarkStart w:id="102" w:name="xdx_40E_eus-gaap--AccountsPayableCurrent"/>
            <w:bookmarkEnd w:id="102"/>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5,199,105</w:t>
            </w:r>
          </w:p>
        </w:tc>
        <w:tc>
          <w:tcPr>
            <w:tcW w:w="275" w:type="dxa"/>
            <w:tcBorders/>
            <w:shd w:fill="CCEEFF" w:val="clear"/>
            <w:vAlign w:val="center"/>
          </w:tcPr>
          <w:p>
            <w:pPr>
              <w:pStyle w:val="TableContents"/>
              <w:bidi w:val="0"/>
              <w:spacing w:before="0" w:after="283"/>
              <w:ind w:left="0" w:right="0" w:firstLine="200"/>
              <w:jc w:val="left"/>
              <w:rPr/>
            </w:pPr>
            <w:r>
              <w:rPr/>
              <w:t> </w:t>
            </w:r>
            <w:bookmarkStart w:id="103" w:name="xdx_40D_eus-gaap--AccruedLiabilitiesCurr"/>
            <w:bookmarkEnd w:id="103"/>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1,651,519</w:t>
            </w:r>
          </w:p>
        </w:tc>
        <w:tc>
          <w:tcPr>
            <w:tcW w:w="275" w:type="dxa"/>
            <w:tcBorders/>
            <w:shd w:fill="FFFFFF" w:val="clear"/>
            <w:vAlign w:val="center"/>
          </w:tcPr>
          <w:p>
            <w:pPr>
              <w:pStyle w:val="TableContents"/>
              <w:bidi w:val="0"/>
              <w:spacing w:before="0" w:after="283"/>
              <w:ind w:left="0" w:right="0" w:firstLine="200"/>
              <w:jc w:val="left"/>
              <w:rPr/>
            </w:pPr>
            <w:r>
              <w:rPr/>
              <w:t> </w:t>
            </w:r>
            <w:bookmarkStart w:id="104" w:name="xdx_404_eus-gaap--NotesPayableCurrent_i0"/>
            <w:bookmarkEnd w:id="104"/>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w:t>
            </w:r>
          </w:p>
        </w:tc>
        <w:tc>
          <w:tcPr>
            <w:tcW w:w="275" w:type="dxa"/>
            <w:tcBorders/>
            <w:shd w:fill="CCEEFF" w:val="clear"/>
            <w:vAlign w:val="center"/>
          </w:tcPr>
          <w:p>
            <w:pPr>
              <w:pStyle w:val="TableContents"/>
              <w:bidi w:val="0"/>
              <w:spacing w:before="0" w:after="283"/>
              <w:ind w:left="0" w:right="0" w:firstLine="200"/>
              <w:jc w:val="left"/>
              <w:rPr/>
            </w:pPr>
            <w:r>
              <w:rPr/>
              <w:t> </w:t>
            </w:r>
            <w:bookmarkStart w:id="105" w:name="xdx_40E_eus-gaap--FinanceLeaseLiabilityC"/>
            <w:bookmarkEnd w:id="105"/>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liability,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17,057</w:t>
            </w:r>
          </w:p>
        </w:tc>
        <w:tc>
          <w:tcPr>
            <w:tcW w:w="275" w:type="dxa"/>
            <w:tcBorders/>
            <w:shd w:fill="FFFFFF" w:val="clear"/>
            <w:vAlign w:val="center"/>
          </w:tcPr>
          <w:p>
            <w:pPr>
              <w:pStyle w:val="TableContents"/>
              <w:bidi w:val="0"/>
              <w:spacing w:before="0" w:after="283"/>
              <w:ind w:left="0" w:right="0" w:firstLine="200"/>
              <w:jc w:val="left"/>
              <w:rPr/>
            </w:pPr>
            <w:r>
              <w:rPr/>
              <w:t> </w:t>
            </w:r>
            <w:bookmarkStart w:id="106" w:name="xdx_407_eus-gaap--OperatingLeaseLiabilit"/>
            <w:bookmarkEnd w:id="106"/>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358,085</w:t>
            </w:r>
          </w:p>
        </w:tc>
        <w:tc>
          <w:tcPr>
            <w:tcW w:w="275" w:type="dxa"/>
            <w:tcBorders/>
            <w:shd w:fill="CCEEFF" w:val="clear"/>
            <w:vAlign w:val="center"/>
          </w:tcPr>
          <w:p>
            <w:pPr>
              <w:pStyle w:val="TableContents"/>
              <w:bidi w:val="0"/>
              <w:spacing w:before="0" w:after="283"/>
              <w:jc w:val="left"/>
              <w:rPr/>
            </w:pPr>
            <w:r>
              <w:rPr/>
              <w:t> </w:t>
            </w:r>
            <w:bookmarkStart w:id="107" w:name="xdx_401_eus-gaap--LiabilitiesCurrent_i02"/>
            <w:bookmarkEnd w:id="107"/>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4,972,105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10,225,766</w:t>
            </w:r>
          </w:p>
        </w:tc>
        <w:tc>
          <w:tcPr>
            <w:tcW w:w="275"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08" w:name="xdx_406_eus-gaap--LiabilitiesNoncurrentA"/>
            <w:bookmarkEnd w:id="108"/>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bookmarkStart w:id="109" w:name="xdx_404_eus-gaap--LongTermNotesPayable_i"/>
            <w:bookmarkEnd w:id="109"/>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75" w:type="dxa"/>
            <w:tcBorders/>
            <w:shd w:fill="CCEEFF" w:val="clear"/>
            <w:vAlign w:val="center"/>
          </w:tcPr>
          <w:p>
            <w:pPr>
              <w:pStyle w:val="TableContents"/>
              <w:bidi w:val="0"/>
              <w:spacing w:before="0" w:after="283"/>
              <w:ind w:left="0" w:right="0" w:firstLine="200"/>
              <w:jc w:val="left"/>
              <w:rPr/>
            </w:pPr>
            <w:r>
              <w:rPr/>
              <w:t> </w:t>
            </w:r>
            <w:bookmarkStart w:id="110" w:name="xdx_40D_eus-gaap--FinanceLeaseLiabilityN"/>
            <w:bookmarkEnd w:id="110"/>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liability, net of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4,436</w:t>
            </w:r>
          </w:p>
        </w:tc>
        <w:tc>
          <w:tcPr>
            <w:tcW w:w="275" w:type="dxa"/>
            <w:tcBorders/>
            <w:shd w:fill="FFFFFF" w:val="clear"/>
            <w:vAlign w:val="center"/>
          </w:tcPr>
          <w:p>
            <w:pPr>
              <w:pStyle w:val="TableContents"/>
              <w:bidi w:val="0"/>
              <w:spacing w:before="0" w:after="283"/>
              <w:ind w:left="0" w:right="0" w:firstLine="200"/>
              <w:jc w:val="left"/>
              <w:rPr/>
            </w:pPr>
            <w:r>
              <w:rPr/>
              <w:t> </w:t>
            </w:r>
            <w:bookmarkStart w:id="111" w:name="xdx_403_eus-gaap--OperatingLeaseLiabilit"/>
            <w:bookmarkEnd w:id="111"/>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130,663</w:t>
            </w:r>
          </w:p>
        </w:tc>
        <w:tc>
          <w:tcPr>
            <w:tcW w:w="275" w:type="dxa"/>
            <w:tcBorders/>
            <w:shd w:fill="CCEEFF" w:val="clear"/>
            <w:vAlign w:val="center"/>
          </w:tcPr>
          <w:p>
            <w:pPr>
              <w:pStyle w:val="TableContents"/>
              <w:bidi w:val="0"/>
              <w:spacing w:before="0" w:after="283"/>
              <w:jc w:val="left"/>
              <w:rPr/>
            </w:pPr>
            <w:r>
              <w:rPr/>
              <w:t> </w:t>
            </w:r>
            <w:bookmarkStart w:id="112" w:name="xdx_40B_eus-gaap--LiabilitiesNoncurrent_"/>
            <w:bookmarkEnd w:id="112"/>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2,436,879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135,099</w:t>
            </w:r>
          </w:p>
        </w:tc>
        <w:tc>
          <w:tcPr>
            <w:tcW w:w="275" w:type="dxa"/>
            <w:tcBorders/>
            <w:shd w:fill="FFFFFF" w:val="clear"/>
            <w:vAlign w:val="center"/>
          </w:tcPr>
          <w:p>
            <w:pPr>
              <w:pStyle w:val="TableContents"/>
              <w:bidi w:val="0"/>
              <w:spacing w:before="0" w:after="283"/>
              <w:jc w:val="left"/>
              <w:rPr/>
            </w:pPr>
            <w:r>
              <w:rPr/>
              <w:t> </w:t>
            </w:r>
            <w:bookmarkStart w:id="113" w:name="xdx_40F_eus-gaap--Liabilities_i01TI_mtCz"/>
            <w:bookmarkEnd w:id="113"/>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7,408,984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10,360,865</w:t>
            </w:r>
          </w:p>
        </w:tc>
        <w:tc>
          <w:tcPr>
            <w:tcW w:w="275"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bookmarkStart w:id="114" w:name="xdx_402_eus-gaap--StockholdersEquityAbst"/>
            <w:bookmarkEnd w:id="114"/>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15" w:name="xdx_404_eus-gaap--CommonStockValue_i02I_"/>
            <w:bookmarkEnd w:id="115"/>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116" w:name="xdx_90F_eus-gaap--CommonStockParOrStated"/>
            <w:bookmarkStart w:id="117" w:name="xdx_909_eus-gaap--CommonStockParOrStated"/>
            <w:bookmarkEnd w:id="116"/>
            <w:bookmarkEnd w:id="117"/>
            <w:r>
              <w:rPr>
                <w:rFonts w:ascii="Times New Roman;Times;Serif" w:hAnsi="Times New Roman;Times;Serif"/>
              </w:rPr>
              <w:t xml:space="preserve">0.0001 par value; </w:t>
            </w:r>
            <w:bookmarkStart w:id="118" w:name="xdx_90B_eus-gaap--CommonStockSharesAutho"/>
            <w:bookmarkStart w:id="119" w:name="xdx_90A_eus-gaap--CommonStockSharesAutho"/>
            <w:bookmarkEnd w:id="118"/>
            <w:bookmarkEnd w:id="119"/>
            <w:r>
              <w:rPr>
                <w:rFonts w:ascii="Times New Roman;Times;Serif" w:hAnsi="Times New Roman;Times;Serif"/>
              </w:rPr>
              <w:t xml:space="preserve">240,000,000 shares authorized and </w:t>
            </w:r>
            <w:bookmarkStart w:id="120" w:name="xdx_909_eus-gaap--CommonStockSharesOutst"/>
            <w:bookmarkStart w:id="121" w:name="xdx_90F_eus-gaap--CommonStockSharesIssue"/>
            <w:bookmarkEnd w:id="120"/>
            <w:bookmarkEnd w:id="121"/>
            <w:r>
              <w:rPr>
                <w:rFonts w:ascii="Times New Roman;Times;Serif" w:hAnsi="Times New Roman;Times;Serif"/>
              </w:rPr>
              <w:t xml:space="preserve">3,402,306 and </w:t>
            </w:r>
            <w:bookmarkStart w:id="122" w:name="xdx_90F_eus-gaap--CommonStockSharesOutst"/>
            <w:bookmarkStart w:id="123" w:name="xdx_906_eus-gaap--CommonStockSharesIssue"/>
            <w:bookmarkEnd w:id="122"/>
            <w:bookmarkEnd w:id="123"/>
            <w:r>
              <w:rPr>
                <w:rFonts w:ascii="Times New Roman;Times;Serif" w:hAnsi="Times New Roman;Times;Serif"/>
              </w:rPr>
              <w:t>97,293 shares issued and outstanding as of December 31, 2024 and 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75" w:type="dxa"/>
            <w:tcBorders/>
            <w:shd w:fill="FFFFFF" w:val="clear"/>
            <w:vAlign w:val="center"/>
          </w:tcPr>
          <w:p>
            <w:pPr>
              <w:pStyle w:val="TableContents"/>
              <w:bidi w:val="0"/>
              <w:spacing w:before="0" w:after="283"/>
              <w:jc w:val="left"/>
              <w:rPr/>
            </w:pPr>
            <w:r>
              <w:rPr/>
              <w:t> </w:t>
            </w:r>
            <w:bookmarkStart w:id="124" w:name="xdx_40F_eus-gaap--PreferredStockValue_i0"/>
            <w:bookmarkEnd w:id="124"/>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125" w:name="xdx_90F_eus-gaap--PreferredStockParOrSta"/>
            <w:bookmarkStart w:id="126" w:name="xdx_90E_eus-gaap--PreferredStockParOrSta"/>
            <w:bookmarkEnd w:id="125"/>
            <w:bookmarkEnd w:id="126"/>
            <w:r>
              <w:rPr>
                <w:rFonts w:ascii="Times New Roman;Times;Serif" w:hAnsi="Times New Roman;Times;Serif"/>
              </w:rPr>
              <w:t xml:space="preserve">0.0001 par value; </w:t>
            </w:r>
            <w:bookmarkStart w:id="127" w:name="xdx_900_eus-gaap--PreferredStockSharesAu"/>
            <w:bookmarkStart w:id="128" w:name="xdx_907_eus-gaap--PreferredStockSharesAu"/>
            <w:bookmarkEnd w:id="127"/>
            <w:bookmarkEnd w:id="128"/>
            <w:r>
              <w:rPr>
                <w:rFonts w:ascii="Times New Roman;Times;Serif" w:hAnsi="Times New Roman;Times;Serif"/>
              </w:rPr>
              <w:t xml:space="preserve">10,000,000 shares authorized and </w:t>
            </w:r>
            <w:bookmarkStart w:id="129" w:name="xdx_905_eus-gaap--PreferredStockSharesOu"/>
            <w:bookmarkStart w:id="130" w:name="xdx_905_eus-gaap--PreferredStockSharesIs"/>
            <w:bookmarkStart w:id="131" w:name="xdx_90D_eus-gaap--PreferredStockSharesOu"/>
            <w:bookmarkStart w:id="132" w:name="xdx_90E_eus-gaap--PreferredStockSharesIs"/>
            <w:bookmarkEnd w:id="129"/>
            <w:bookmarkEnd w:id="130"/>
            <w:bookmarkEnd w:id="131"/>
            <w:bookmarkEnd w:id="132"/>
            <w:r>
              <w:rPr>
                <w:rFonts w:ascii="Times New Roman;Times;Serif" w:hAnsi="Times New Roman;Times;Serif"/>
              </w:rPr>
              <w:t>0 shares issued and outstanding as of  December 31, 2024 and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75" w:type="dxa"/>
            <w:tcBorders/>
            <w:shd w:fill="CCEEFF" w:val="clear"/>
            <w:vAlign w:val="center"/>
          </w:tcPr>
          <w:p>
            <w:pPr>
              <w:pStyle w:val="TableContents"/>
              <w:bidi w:val="0"/>
              <w:spacing w:before="0" w:after="283"/>
              <w:jc w:val="left"/>
              <w:rPr/>
            </w:pPr>
            <w:r>
              <w:rPr/>
              <w:t> </w:t>
            </w:r>
            <w:bookmarkStart w:id="133" w:name="xdx_406_eus-gaap--AdditionalPaidInCapita"/>
            <w:bookmarkEnd w:id="133"/>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115,944,345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86,074,004</w:t>
            </w:r>
          </w:p>
        </w:tc>
        <w:tc>
          <w:tcPr>
            <w:tcW w:w="275" w:type="dxa"/>
            <w:tcBorders/>
            <w:shd w:fill="FFFFFF" w:val="clear"/>
            <w:vAlign w:val="center"/>
          </w:tcPr>
          <w:p>
            <w:pPr>
              <w:pStyle w:val="TableContents"/>
              <w:bidi w:val="0"/>
              <w:spacing w:before="0" w:after="283"/>
              <w:jc w:val="left"/>
              <w:rPr/>
            </w:pPr>
            <w:r>
              <w:rPr/>
              <w:t> </w:t>
            </w:r>
            <w:bookmarkStart w:id="134" w:name="xdx_402_eus-gaap--RetainedEarningsAccumu"/>
            <w:bookmarkEnd w:id="134"/>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(108,489,180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(92,943,443</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5" w:name="xdx_40E_eus-gaap--StockholdersEquity_i02"/>
            <w:bookmarkEnd w:id="135"/>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7,455,505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(6,869,429</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36" w:name="xdx_408_eus-gaap--LiabilitiesAndStockhol"/>
            <w:bookmarkEnd w:id="136"/>
          </w:p>
        </w:tc>
      </w:tr>
      <w:tr>
        <w:trPr/>
        <w:tc>
          <w:tcPr>
            <w:tcW w:w="69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14,864,489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3,491,436</w:t>
            </w:r>
          </w:p>
        </w:tc>
        <w:tc>
          <w:tcPr>
            <w:tcW w:w="2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2024 and 2023</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7" w:name="xdx_307_113_zPUqndIUWoch"/>
      <w:bookmarkStart w:id="138" w:name="xdx_307_113_zPUqndIUWoch"/>
      <w:bookmarkEnd w:id="138"/>
    </w:p>
    <w:tbl>
      <w:tblPr>
        <w:tblW w:w="10205" w:type="dxa"/>
        <w:jc w:val="left"/>
        <w:tblInd w:w="0" w:type="dxa"/>
        <w:tblLayout w:type="fixed"/>
        <w:tblCellMar>
          <w:top w:w="0" w:type="dxa"/>
          <w:left w:w="0" w:type="dxa"/>
          <w:bottom w:w="0" w:type="dxa"/>
          <w:right w:w="0" w:type="dxa"/>
        </w:tblCellMar>
      </w:tblPr>
      <w:tblGrid>
        <w:gridCol w:w="7085"/>
        <w:gridCol w:w="60"/>
        <w:gridCol w:w="140"/>
        <w:gridCol w:w="1175"/>
        <w:gridCol w:w="95"/>
        <w:gridCol w:w="60"/>
        <w:gridCol w:w="140"/>
        <w:gridCol w:w="1175"/>
        <w:gridCol w:w="275"/>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93_20240101__20241231_zi5ClRxhA5U3"/>
            <w:bookmarkEnd w:id="139"/>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 w:name="xdx_493_20230101__20231231_zJp2sVUAgGgc"/>
            <w:bookmarkEnd w:id="140"/>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75" w:type="dxa"/>
            <w:tcBorders/>
            <w:vAlign w:val="center"/>
          </w:tcPr>
          <w:p>
            <w:pPr>
              <w:pStyle w:val="TableContents"/>
              <w:bidi w:val="0"/>
              <w:spacing w:before="0" w:after="283"/>
              <w:jc w:val="left"/>
              <w:rPr/>
            </w:pPr>
            <w:r>
              <w:rPr/>
              <w:t> </w:t>
            </w:r>
            <w:bookmarkStart w:id="141" w:name="xdx_405_eus-gaap--OperatingExpensesAbstr"/>
            <w:bookmarkEnd w:id="141"/>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bookmarkStart w:id="142" w:name="xdx_408_eus-gaap--ResearchAndDevelopment"/>
            <w:bookmarkEnd w:id="142"/>
          </w:p>
        </w:tc>
      </w:tr>
      <w:tr>
        <w:trPr/>
        <w:tc>
          <w:tcPr>
            <w:tcW w:w="7085" w:type="dxa"/>
            <w:tcBorders/>
            <w:shd w:fill="FFFFFF" w:val="clear"/>
            <w:vAlign w:val="center"/>
          </w:tcPr>
          <w:p>
            <w:pPr>
              <w:pStyle w:val="TableContents"/>
              <w:bidi w:val="0"/>
              <w:spacing w:before="0" w:after="283"/>
              <w:jc w:val="left"/>
              <w:rPr/>
            </w:pPr>
            <w:r>
              <w:rPr/>
              <w:t> </w:t>
            </w: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9,445,265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15,493,304</w:t>
            </w:r>
          </w:p>
        </w:tc>
        <w:tc>
          <w:tcPr>
            <w:tcW w:w="275" w:type="dxa"/>
            <w:tcBorders/>
            <w:shd w:fill="FFFFFF" w:val="clear"/>
            <w:vAlign w:val="center"/>
          </w:tcPr>
          <w:p>
            <w:pPr>
              <w:pStyle w:val="TableContents"/>
              <w:bidi w:val="0"/>
              <w:spacing w:before="0" w:after="283"/>
              <w:ind w:left="0" w:right="0" w:firstLine="200"/>
              <w:jc w:val="left"/>
              <w:rPr/>
            </w:pPr>
            <w:r>
              <w:rPr/>
              <w:t> </w:t>
            </w:r>
            <w:bookmarkStart w:id="143" w:name="xdx_407_eus-gaap--GeneralAndAdministrati"/>
            <w:bookmarkEnd w:id="143"/>
          </w:p>
        </w:tc>
      </w:tr>
      <w:tr>
        <w:trPr/>
        <w:tc>
          <w:tcPr>
            <w:tcW w:w="7085" w:type="dxa"/>
            <w:tcBorders/>
            <w:shd w:fill="CCEEFF" w:val="clear"/>
            <w:vAlign w:val="center"/>
          </w:tcPr>
          <w:p>
            <w:pPr>
              <w:pStyle w:val="TableContents"/>
              <w:bidi w:val="0"/>
              <w:spacing w:before="0" w:after="283"/>
              <w:jc w:val="left"/>
              <w:rPr/>
            </w:pPr>
            <w:r>
              <w:rPr/>
              <w:t> </w:t>
            </w: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6,199,708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7,265,885</w:t>
            </w:r>
          </w:p>
        </w:tc>
        <w:tc>
          <w:tcPr>
            <w:tcW w:w="275" w:type="dxa"/>
            <w:tcBorders/>
            <w:shd w:fill="CCEEFF" w:val="clear"/>
            <w:vAlign w:val="center"/>
          </w:tcPr>
          <w:p>
            <w:pPr>
              <w:pStyle w:val="TableContents"/>
              <w:bidi w:val="0"/>
              <w:spacing w:before="0" w:after="283"/>
              <w:jc w:val="left"/>
              <w:rPr/>
            </w:pPr>
            <w:r>
              <w:rPr/>
              <w:t> </w:t>
            </w:r>
            <w:bookmarkStart w:id="144" w:name="xdx_40B_eus-gaap--OperatingIncomeLoss_i0"/>
            <w:bookmarkEnd w:id="144"/>
          </w:p>
        </w:tc>
      </w:tr>
      <w:tr>
        <w:trPr/>
        <w:tc>
          <w:tcPr>
            <w:tcW w:w="7085" w:type="dxa"/>
            <w:tcBorders/>
            <w:shd w:fill="FFFFFF" w:val="clear"/>
            <w:vAlign w:val="center"/>
          </w:tcPr>
          <w:p>
            <w:pPr>
              <w:pStyle w:val="TableContents"/>
              <w:bidi w:val="0"/>
              <w:spacing w:before="0" w:after="283"/>
              <w:jc w:val="left"/>
              <w:rPr/>
            </w:pPr>
            <w:r>
              <w:rPr/>
              <w:t> </w:t>
            </w:r>
            <w:r>
              <w:rPr>
                <w:rFonts w:ascii="Times New Roman;Times;Serif" w:hAnsi="Times New Roman;Times;Serif"/>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(15,644,973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(22,759,189</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bookmarkStart w:id="145" w:name="xdx_407_eus-gaap--NonoperatingIncomeExpe"/>
            <w:bookmarkEnd w:id="145"/>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(775,758</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6" w:name="xdx_400_eus-gaap--IncomeLossFromContinui"/>
            <w:bookmarkEnd w:id="146"/>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(15,545,737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(23,534,947</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7" w:name="xdx_401_eus-gaap--IncomeTaxExpenseBenefi"/>
            <w:bookmarkEnd w:id="147"/>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75"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bookmarkStart w:id="148" w:name="xdx_407_eus-gaap--NetIncomeLoss_iT_mtCzJ"/>
            <w:bookmarkEnd w:id="148"/>
          </w:p>
        </w:tc>
      </w:tr>
      <w:tr>
        <w:trPr/>
        <w:tc>
          <w:tcPr>
            <w:tcW w:w="70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and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(15,545,737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(23,534,947</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9" w:name="xdx_902_eus-gaap--EarningsPerShareDilute"/>
            <w:bookmarkStart w:id="150" w:name="xdx_903_eus-gaap--EarningsPerShareBasic_"/>
            <w:bookmarkEnd w:id="149"/>
            <w:bookmarkEnd w:id="150"/>
            <w:r>
              <w:rPr>
                <w:rFonts w:ascii="Times New Roman;Times;Serif" w:hAnsi="Times New Roman;Times;Serif"/>
              </w:rPr>
              <w:t>(10.20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1" w:name="xdx_904_eus-gaap--EarningsPerShareDilute"/>
            <w:bookmarkStart w:id="152" w:name="xdx_90E_eus-gaap--EarningsPerShareBasic_"/>
            <w:bookmarkEnd w:id="151"/>
            <w:bookmarkEnd w:id="152"/>
            <w:r>
              <w:rPr>
                <w:rFonts w:ascii="Times New Roman;Times;Serif" w:hAnsi="Times New Roman;Times;Serif"/>
              </w:rPr>
              <w:t>(311.99</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used in computing net loss per share of common stock,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3" w:name="xdx_907_eus-gaap--WeightedAverageNumberO"/>
            <w:bookmarkStart w:id="154" w:name="xdx_902_eus-gaap--WeightedAverageNumberO"/>
            <w:bookmarkEnd w:id="153"/>
            <w:bookmarkEnd w:id="154"/>
            <w:r>
              <w:rPr>
                <w:rFonts w:ascii="Times New Roman;Times;Serif" w:hAnsi="Times New Roman;Times;Serif"/>
              </w:rPr>
              <w:t>1,524,797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5" w:name="xdx_904_eus-gaap--WeightedAverageNumberO"/>
            <w:bookmarkStart w:id="156" w:name="xdx_901_eus-gaap--WeightedAverageNumberO"/>
            <w:bookmarkEnd w:id="155"/>
            <w:bookmarkEnd w:id="156"/>
            <w:r>
              <w:rPr>
                <w:rFonts w:ascii="Times New Roman;Times;Serif" w:hAnsi="Times New Roman;Times;Serif"/>
              </w:rPr>
              <w:t>75,435</w:t>
            </w:r>
          </w:p>
        </w:tc>
        <w:tc>
          <w:tcPr>
            <w:tcW w:w="2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2024 and 2023</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7" w:name="xdx_303_114_zmSaeetuaQCg"/>
      <w:bookmarkStart w:id="158" w:name="xdx_303_114_zmSaeetuaQCg"/>
      <w:bookmarkEnd w:id="158"/>
    </w:p>
    <w:tbl>
      <w:tblPr>
        <w:tblW w:w="10205" w:type="dxa"/>
        <w:jc w:val="left"/>
        <w:tblInd w:w="0" w:type="dxa"/>
        <w:tblLayout w:type="fixed"/>
        <w:tblCellMar>
          <w:top w:w="0" w:type="dxa"/>
          <w:left w:w="0" w:type="dxa"/>
          <w:bottom w:w="0" w:type="dxa"/>
          <w:right w:w="0" w:type="dxa"/>
        </w:tblCellMar>
      </w:tblPr>
      <w:tblGrid>
        <w:gridCol w:w="2981"/>
        <w:gridCol w:w="60"/>
        <w:gridCol w:w="60"/>
        <w:gridCol w:w="845"/>
        <w:gridCol w:w="60"/>
        <w:gridCol w:w="60"/>
        <w:gridCol w:w="180"/>
        <w:gridCol w:w="485"/>
        <w:gridCol w:w="60"/>
        <w:gridCol w:w="60"/>
        <w:gridCol w:w="127"/>
        <w:gridCol w:w="1078"/>
        <w:gridCol w:w="80"/>
        <w:gridCol w:w="60"/>
        <w:gridCol w:w="125"/>
        <w:gridCol w:w="1115"/>
        <w:gridCol w:w="80"/>
        <w:gridCol w:w="60"/>
        <w:gridCol w:w="145"/>
        <w:gridCol w:w="1222"/>
        <w:gridCol w:w="60"/>
        <w:gridCol w:w="60"/>
        <w:gridCol w:w="126"/>
        <w:gridCol w:w="919"/>
        <w:gridCol w:w="97"/>
      </w:tblGrid>
      <w:tr>
        <w:trPr/>
        <w:tc>
          <w:tcPr>
            <w:tcW w:w="2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 w:name="xdx_4B1_us-gaap--StatementEquityComponen"/>
            <w:bookmarkEnd w:id="159"/>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 w:name="xdx_4BF_us-gaap--StatementEquityComponen"/>
            <w:bookmarkEnd w:id="160"/>
          </w:p>
        </w:tc>
        <w:tc>
          <w:tcPr>
            <w:tcW w:w="12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B0_us-gaap--StatementEquityComponen"/>
            <w:bookmarkEnd w:id="161"/>
          </w:p>
        </w:tc>
        <w:tc>
          <w:tcPr>
            <w:tcW w:w="12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B5_us-gaap--StatementEquityComponen"/>
            <w:bookmarkEnd w:id="162"/>
          </w:p>
        </w:tc>
        <w:tc>
          <w:tcPr>
            <w:tcW w:w="1367"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7_zTGfsIrpff95"/>
            <w:bookmarkEnd w:id="163"/>
          </w:p>
        </w:tc>
        <w:tc>
          <w:tcPr>
            <w:tcW w:w="1045"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Stockholders’</w:t>
            </w:r>
          </w:p>
        </w:tc>
        <w:tc>
          <w:tcPr>
            <w:tcW w:w="97" w:type="dxa"/>
            <w:tcBorders/>
            <w:vAlign w:val="center"/>
          </w:tcPr>
          <w:p>
            <w:pPr>
              <w:pStyle w:val="TableContents"/>
              <w:bidi w:val="0"/>
              <w:spacing w:before="0" w:after="283"/>
              <w:jc w:val="left"/>
              <w:rPr/>
            </w:pPr>
            <w:r>
              <w:rPr/>
              <w:t> </w:t>
            </w:r>
          </w:p>
        </w:tc>
      </w:tr>
      <w:tr>
        <w:trPr/>
        <w:tc>
          <w:tcPr>
            <w:tcW w:w="2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Paid-in-Capital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Equity</w:t>
            </w:r>
          </w:p>
        </w:tc>
        <w:tc>
          <w:tcPr>
            <w:tcW w:w="97" w:type="dxa"/>
            <w:tcBorders/>
            <w:vAlign w:val="center"/>
          </w:tcPr>
          <w:p>
            <w:pPr>
              <w:pStyle w:val="TableContents"/>
              <w:bidi w:val="0"/>
              <w:spacing w:before="0" w:after="283"/>
              <w:jc w:val="left"/>
              <w:rPr/>
            </w:pPr>
            <w:r>
              <w:rPr/>
              <w:t> </w:t>
            </w:r>
            <w:bookmarkStart w:id="164" w:name="xdx_430_c20230101__20231231_eus-gaap--St"/>
            <w:bookmarkEnd w:id="164"/>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B_eus-gaap--SharesOutstanding_iS_p"/>
            <w:bookmarkEnd w:id="165"/>
          </w:p>
        </w:tc>
        <w:tc>
          <w:tcPr>
            <w:tcW w:w="84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47,123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73,290,513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(69,408,496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22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3,882,022</w:t>
            </w:r>
          </w:p>
        </w:tc>
        <w:tc>
          <w:tcPr>
            <w:tcW w:w="97" w:type="dxa"/>
            <w:tcBorders/>
            <w:shd w:fill="CCEEFF" w:val="clear"/>
            <w:vAlign w:val="center"/>
          </w:tcPr>
          <w:p>
            <w:pPr>
              <w:pStyle w:val="TableContents"/>
              <w:bidi w:val="0"/>
              <w:spacing w:before="0" w:after="283"/>
              <w:jc w:val="left"/>
              <w:rPr/>
            </w:pPr>
            <w:r>
              <w:rPr/>
              <w:t> </w:t>
            </w:r>
            <w:bookmarkStart w:id="166" w:name="xdx_407_eus-gaap--StockIssuedDuringPerio"/>
            <w:bookmarkEnd w:id="166"/>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common stock in connection with At the Market Offering and Purchase Agreement, net of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2_eus-gaap--StockIssuedDuringPerio"/>
            <w:bookmarkEnd w:id="167"/>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1,840,736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1,840,737</w:t>
            </w:r>
          </w:p>
        </w:tc>
        <w:tc>
          <w:tcPr>
            <w:tcW w:w="97" w:type="dxa"/>
            <w:tcBorders/>
            <w:shd w:fill="FFFFFF" w:val="clear"/>
            <w:vAlign w:val="center"/>
          </w:tcPr>
          <w:p>
            <w:pPr>
              <w:pStyle w:val="TableContents"/>
              <w:bidi w:val="0"/>
              <w:spacing w:before="0" w:after="283"/>
              <w:jc w:val="left"/>
              <w:rPr/>
            </w:pPr>
            <w:r>
              <w:rPr/>
              <w:t> </w:t>
            </w:r>
            <w:bookmarkStart w:id="168" w:name="xdx_40F_ecustom--StockIssuedDuringPeriod"/>
            <w:bookmarkEnd w:id="168"/>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common stock in connection with private placement with WFIA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A_ecustom--StockIssuedDuringPeriod"/>
            <w:bookmarkEnd w:id="169"/>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999,999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w:t>
            </w:r>
          </w:p>
        </w:tc>
        <w:tc>
          <w:tcPr>
            <w:tcW w:w="97" w:type="dxa"/>
            <w:tcBorders/>
            <w:shd w:fill="CCEEFF" w:val="clear"/>
            <w:vAlign w:val="center"/>
          </w:tcPr>
          <w:p>
            <w:pPr>
              <w:pStyle w:val="TableContents"/>
              <w:bidi w:val="0"/>
              <w:spacing w:before="0" w:after="283"/>
              <w:jc w:val="left"/>
              <w:rPr/>
            </w:pPr>
            <w:r>
              <w:rPr/>
              <w:t> </w:t>
            </w:r>
            <w:bookmarkStart w:id="170" w:name="xdx_402_ecustom--StockIssuedDuringPeriod"/>
            <w:bookmarkEnd w:id="170"/>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common stock and pre-funded warrants sold for cash in public offering, net of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 w:name="xdx_988_ecustom--StockIssuedDuringPeriod"/>
            <w:bookmarkEnd w:id="171"/>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3,310,548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3,310,551</w:t>
            </w:r>
          </w:p>
        </w:tc>
        <w:tc>
          <w:tcPr>
            <w:tcW w:w="97" w:type="dxa"/>
            <w:tcBorders/>
            <w:shd w:fill="FFFFFF" w:val="clear"/>
            <w:vAlign w:val="center"/>
          </w:tcPr>
          <w:p>
            <w:pPr>
              <w:pStyle w:val="TableContents"/>
              <w:bidi w:val="0"/>
              <w:spacing w:before="0" w:after="283"/>
              <w:jc w:val="left"/>
              <w:rPr/>
            </w:pPr>
            <w:r>
              <w:rPr/>
              <w:t> </w:t>
            </w:r>
            <w:bookmarkStart w:id="172" w:name="xdx_40F_ecustom--StockIssuedDuringPeriod"/>
            <w:bookmarkEnd w:id="172"/>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pre-funded warrants in connection with the conversion of related party note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3,949,765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3,949,765</w:t>
            </w:r>
          </w:p>
        </w:tc>
        <w:tc>
          <w:tcPr>
            <w:tcW w:w="97" w:type="dxa"/>
            <w:tcBorders/>
            <w:shd w:fill="CCEEFF" w:val="clear"/>
            <w:vAlign w:val="center"/>
          </w:tcPr>
          <w:p>
            <w:pPr>
              <w:pStyle w:val="TableContents"/>
              <w:bidi w:val="0"/>
              <w:spacing w:before="0" w:after="283"/>
              <w:jc w:val="left"/>
              <w:rPr/>
            </w:pPr>
            <w:r>
              <w:rPr/>
              <w:t> </w:t>
            </w:r>
            <w:bookmarkStart w:id="173" w:name="xdx_402_eus-gaap--AdjustmentsToAdditiona"/>
            <w:bookmarkEnd w:id="173"/>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Capital contribution in connection with conversion of related party note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1,862,735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1,862,735</w:t>
            </w:r>
          </w:p>
        </w:tc>
        <w:tc>
          <w:tcPr>
            <w:tcW w:w="97" w:type="dxa"/>
            <w:tcBorders/>
            <w:shd w:fill="FFFFFF" w:val="clear"/>
            <w:vAlign w:val="center"/>
          </w:tcPr>
          <w:p>
            <w:pPr>
              <w:pStyle w:val="TableContents"/>
              <w:bidi w:val="0"/>
              <w:spacing w:before="0" w:after="283"/>
              <w:jc w:val="left"/>
              <w:rPr/>
            </w:pPr>
            <w:r>
              <w:rPr/>
              <w:t> </w:t>
            </w:r>
            <w:bookmarkStart w:id="174" w:name="xdx_405_eus-gaap--StockIssuedDuringPerio"/>
            <w:bookmarkEnd w:id="174"/>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8_eus-gaap--StockIssuedDuringPerio"/>
            <w:bookmarkEnd w:id="175"/>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7,038</w:t>
            </w:r>
          </w:p>
        </w:tc>
        <w:tc>
          <w:tcPr>
            <w:tcW w:w="97" w:type="dxa"/>
            <w:tcBorders/>
            <w:shd w:fill="CCEEFF" w:val="clear"/>
            <w:vAlign w:val="center"/>
          </w:tcPr>
          <w:p>
            <w:pPr>
              <w:pStyle w:val="TableContents"/>
              <w:bidi w:val="0"/>
              <w:spacing w:before="0" w:after="283"/>
              <w:jc w:val="left"/>
              <w:rPr/>
            </w:pPr>
            <w:r>
              <w:rPr/>
              <w:t> </w:t>
            </w:r>
            <w:bookmarkStart w:id="176" w:name="xdx_407_eus-gaap--AdjustmentsToAdditiona"/>
            <w:bookmarkEnd w:id="176"/>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812,670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812,670</w:t>
            </w:r>
          </w:p>
        </w:tc>
        <w:tc>
          <w:tcPr>
            <w:tcW w:w="97" w:type="dxa"/>
            <w:tcBorders/>
            <w:shd w:fill="FFFFFF" w:val="clear"/>
            <w:vAlign w:val="center"/>
          </w:tcPr>
          <w:p>
            <w:pPr>
              <w:pStyle w:val="TableContents"/>
              <w:bidi w:val="0"/>
              <w:spacing w:before="0" w:after="283"/>
              <w:jc w:val="left"/>
              <w:rPr/>
            </w:pPr>
            <w:r>
              <w:rPr/>
              <w:t> </w:t>
            </w:r>
            <w:bookmarkStart w:id="177" w:name="xdx_404_eus-gaap--NetIncomeLoss_z6118T4Z"/>
            <w:bookmarkEnd w:id="177"/>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(23,534,947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(23,534,947</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8" w:name="xdx_43B_c20240101__20241231_eus-gaap--St"/>
            <w:bookmarkEnd w:id="178"/>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 w:name="xdx_982_eus-gaap--SharesOutstanding_iS_p"/>
            <w:bookmarkEnd w:id="179"/>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97,293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86,074,004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(92,943,443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(6,869,429</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0" w:name="xdx_438_c20240101__20241231_eus-gaap--St"/>
            <w:bookmarkEnd w:id="180"/>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 w:name="xdx_983_eus-gaap--SharesOutstanding_iS_p"/>
            <w:bookmarkEnd w:id="18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86,074,004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(92,943,443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(6,869,429</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2" w:name="xdx_40B_ecustom--StockIssuedDuringPeriod"/>
            <w:bookmarkEnd w:id="182"/>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Share adjustment due to fractional rounding of August 2024 reverse split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3" w:name="xdx_980_eus-gaap--StockIssuedDuringPerio"/>
            <w:bookmarkEnd w:id="183"/>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130,602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97" w:type="dxa"/>
            <w:tcBorders/>
            <w:shd w:fill="CCEEFF" w:val="clear"/>
            <w:vAlign w:val="center"/>
          </w:tcPr>
          <w:p>
            <w:pPr>
              <w:pStyle w:val="TableContents"/>
              <w:bidi w:val="0"/>
              <w:spacing w:before="0" w:after="283"/>
              <w:jc w:val="left"/>
              <w:rPr/>
            </w:pPr>
            <w:r>
              <w:rPr/>
              <w:t> </w:t>
            </w:r>
            <w:bookmarkStart w:id="184" w:name="xdx_407_eus-gaap--StockIssuedDuringPerio"/>
            <w:bookmarkEnd w:id="184"/>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common stock in connection with At the Market Offering and Purchase Agreement, net of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9_eus-gaap--StockIssuedDuringPerio"/>
            <w:bookmarkEnd w:id="185"/>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2,455,456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17,240,466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17,240,711</w:t>
            </w:r>
          </w:p>
        </w:tc>
        <w:tc>
          <w:tcPr>
            <w:tcW w:w="97" w:type="dxa"/>
            <w:tcBorders/>
            <w:shd w:fill="FFFFFF" w:val="clear"/>
            <w:vAlign w:val="center"/>
          </w:tcPr>
          <w:p>
            <w:pPr>
              <w:pStyle w:val="TableContents"/>
              <w:bidi w:val="0"/>
              <w:spacing w:before="0" w:after="283"/>
              <w:jc w:val="left"/>
              <w:rPr/>
            </w:pPr>
            <w:r>
              <w:rPr/>
              <w:t> </w:t>
            </w:r>
            <w:bookmarkStart w:id="186" w:name="xdx_40C_ecustom--StockIssuedValueWarrant"/>
            <w:bookmarkEnd w:id="186"/>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Warrant inducement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7" w:name="xdx_98A_ecustom--StockIssuedSharesWarran"/>
            <w:bookmarkEnd w:id="187"/>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265,625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1,561,400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1,561,427</w:t>
            </w:r>
          </w:p>
        </w:tc>
        <w:tc>
          <w:tcPr>
            <w:tcW w:w="97" w:type="dxa"/>
            <w:tcBorders/>
            <w:shd w:fill="CCEEFF" w:val="clear"/>
            <w:vAlign w:val="center"/>
          </w:tcPr>
          <w:p>
            <w:pPr>
              <w:pStyle w:val="TableContents"/>
              <w:bidi w:val="0"/>
              <w:spacing w:before="0" w:after="283"/>
              <w:jc w:val="left"/>
              <w:rPr/>
            </w:pPr>
            <w:r>
              <w:rPr/>
              <w:t> </w:t>
            </w:r>
            <w:bookmarkStart w:id="188" w:name="xdx_403_eus-gaap--StockIssuedDuringPerio"/>
            <w:bookmarkEnd w:id="188"/>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common stock in public offering, net of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9" w:name="xdx_989_eus-gaap--StockIssuedDuringPerio"/>
            <w:bookmarkEnd w:id="189"/>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6,432,862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6,432,892</w:t>
            </w:r>
          </w:p>
        </w:tc>
        <w:tc>
          <w:tcPr>
            <w:tcW w:w="97" w:type="dxa"/>
            <w:tcBorders/>
            <w:shd w:fill="FFFFFF" w:val="clear"/>
            <w:vAlign w:val="center"/>
          </w:tcPr>
          <w:p>
            <w:pPr>
              <w:pStyle w:val="TableContents"/>
              <w:bidi w:val="0"/>
              <w:spacing w:before="0" w:after="283"/>
              <w:jc w:val="left"/>
              <w:rPr/>
            </w:pPr>
            <w:r>
              <w:rPr/>
              <w:t> </w:t>
            </w:r>
            <w:bookmarkStart w:id="190" w:name="xdx_40D_ecustom--StockIssuedDuringPeriod"/>
            <w:bookmarkEnd w:id="190"/>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pre-funded warrants in connection with the conversion of related party note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2,734,739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2,734,739</w:t>
            </w:r>
          </w:p>
        </w:tc>
        <w:tc>
          <w:tcPr>
            <w:tcW w:w="97" w:type="dxa"/>
            <w:tcBorders/>
            <w:shd w:fill="CCEEFF" w:val="clear"/>
            <w:vAlign w:val="center"/>
          </w:tcPr>
          <w:p>
            <w:pPr>
              <w:pStyle w:val="TableContents"/>
              <w:bidi w:val="0"/>
              <w:spacing w:before="0" w:after="283"/>
              <w:jc w:val="left"/>
              <w:rPr/>
            </w:pPr>
            <w:r>
              <w:rPr/>
              <w:t> </w:t>
            </w:r>
            <w:bookmarkStart w:id="191" w:name="xdx_402_eus-gaap--AdjustmentsToAdditiona"/>
            <w:bookmarkEnd w:id="191"/>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Capital contribution in connection with conversion of related party note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586,511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586,511</w:t>
            </w:r>
          </w:p>
        </w:tc>
        <w:tc>
          <w:tcPr>
            <w:tcW w:w="97" w:type="dxa"/>
            <w:tcBorders/>
            <w:shd w:fill="FFFFFF" w:val="clear"/>
            <w:vAlign w:val="center"/>
          </w:tcPr>
          <w:p>
            <w:pPr>
              <w:pStyle w:val="TableContents"/>
              <w:bidi w:val="0"/>
              <w:spacing w:before="0" w:after="283"/>
              <w:jc w:val="left"/>
              <w:rPr/>
            </w:pPr>
            <w:r>
              <w:rPr/>
              <w:t> </w:t>
            </w:r>
            <w:bookmarkStart w:id="192" w:name="xdx_400_eus-gaap--StockIssuedDuringPerio"/>
            <w:bookmarkEnd w:id="192"/>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common stock upon 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8_eus-gaap--StockIssuedDuringPerio"/>
            <w:bookmarkEnd w:id="193"/>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97" w:type="dxa"/>
            <w:tcBorders/>
            <w:shd w:fill="CCEEFF" w:val="clear"/>
            <w:vAlign w:val="center"/>
          </w:tcPr>
          <w:p>
            <w:pPr>
              <w:pStyle w:val="TableContents"/>
              <w:bidi w:val="0"/>
              <w:spacing w:before="0" w:after="283"/>
              <w:jc w:val="left"/>
              <w:rPr/>
            </w:pPr>
            <w:r>
              <w:rPr/>
              <w:t> </w:t>
            </w:r>
            <w:bookmarkStart w:id="194" w:name="xdx_405_eus-gaap--StockIssuedDuringPerio"/>
            <w:bookmarkEnd w:id="194"/>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5" w:name="xdx_98C_eus-gaap--StockIssuedDuringPerio"/>
            <w:bookmarkEnd w:id="195"/>
          </w:p>
        </w:tc>
        <w:tc>
          <w:tcPr>
            <w:tcW w:w="84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318,921</w:t>
            </w:r>
          </w:p>
        </w:tc>
        <w:tc>
          <w:tcPr>
            <w:tcW w:w="97" w:type="dxa"/>
            <w:tcBorders/>
            <w:shd w:fill="FFFFFF" w:val="clear"/>
            <w:vAlign w:val="center"/>
          </w:tcPr>
          <w:p>
            <w:pPr>
              <w:pStyle w:val="TableContents"/>
              <w:bidi w:val="0"/>
              <w:spacing w:before="0" w:after="283"/>
              <w:jc w:val="left"/>
              <w:rPr/>
            </w:pPr>
            <w:r>
              <w:rPr/>
              <w:t> </w:t>
            </w:r>
            <w:bookmarkStart w:id="196" w:name="xdx_407_eus-gaap--AdjustmentsToAdditiona"/>
            <w:bookmarkEnd w:id="196"/>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995,470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995,470</w:t>
            </w:r>
          </w:p>
        </w:tc>
        <w:tc>
          <w:tcPr>
            <w:tcW w:w="97" w:type="dxa"/>
            <w:tcBorders/>
            <w:shd w:fill="CCEEFF" w:val="clear"/>
            <w:vAlign w:val="center"/>
          </w:tcPr>
          <w:p>
            <w:pPr>
              <w:pStyle w:val="TableContents"/>
              <w:bidi w:val="0"/>
              <w:spacing w:before="0" w:after="283"/>
              <w:jc w:val="left"/>
              <w:rPr/>
            </w:pPr>
            <w:r>
              <w:rPr/>
              <w:t> </w:t>
            </w:r>
            <w:bookmarkStart w:id="197" w:name="xdx_404_eus-gaap--NetIncomeLoss_zsDRSrJE"/>
            <w:bookmarkEnd w:id="197"/>
          </w:p>
        </w:tc>
      </w:tr>
      <w:tr>
        <w:trPr/>
        <w:tc>
          <w:tcPr>
            <w:tcW w:w="29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(15,545,737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(15,545,737</w:t>
            </w:r>
          </w:p>
        </w:tc>
        <w:tc>
          <w:tcPr>
            <w:tcW w:w="9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98" w:name="xdx_43A_c20240101__20241231_eus-gaap--St"/>
            <w:bookmarkEnd w:id="198"/>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9" w:name="xdx_981_eus-gaap--SharesOutstanding_iE_p"/>
            <w:bookmarkEnd w:id="199"/>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3,402,306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115,944,345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(108,489,180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12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7,455,505</w:t>
            </w:r>
          </w:p>
        </w:tc>
        <w:tc>
          <w:tcPr>
            <w:tcW w:w="97" w:type="dxa"/>
            <w:tcBorders/>
            <w:shd w:fill="CCEEFF" w:val="clear"/>
            <w:vAlign w:val="center"/>
          </w:tcPr>
          <w:p>
            <w:pPr>
              <w:pStyle w:val="TableContents"/>
              <w:bidi w:val="0"/>
              <w:spacing w:before="0" w:after="283"/>
              <w:jc w:val="left"/>
              <w:rPr/>
            </w:pPr>
            <w:r>
              <w:rPr/>
              <w:t> </w:t>
            </w:r>
            <w:bookmarkStart w:id="200" w:name="xdx_439_c20240101__20241231_eus-gaap--St"/>
            <w:bookmarkEnd w:id="200"/>
          </w:p>
        </w:tc>
      </w:tr>
      <w:tr>
        <w:trPr/>
        <w:tc>
          <w:tcPr>
            <w:tcW w:w="298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1" w:name="xdx_980_eus-gaap--SharesOutstanding_iE_p"/>
            <w:bookmarkEnd w:id="201"/>
          </w:p>
        </w:tc>
        <w:tc>
          <w:tcPr>
            <w:tcW w:w="8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3,402,306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115,944,345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(108,489,180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2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19"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7,455,505</w:t>
            </w:r>
          </w:p>
        </w:tc>
        <w:tc>
          <w:tcPr>
            <w:tcW w:w="9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2024 and 2023</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2" w:name="xdx_304_112_zBOt6TWRcDhe"/>
      <w:bookmarkStart w:id="203" w:name="xdx_304_112_zBOt6TWRcDhe"/>
      <w:bookmarkEnd w:id="203"/>
    </w:p>
    <w:tbl>
      <w:tblPr>
        <w:tblW w:w="10205" w:type="dxa"/>
        <w:jc w:val="left"/>
        <w:tblInd w:w="0" w:type="dxa"/>
        <w:tblLayout w:type="fixed"/>
        <w:tblCellMar>
          <w:top w:w="0" w:type="dxa"/>
          <w:left w:w="0" w:type="dxa"/>
          <w:bottom w:w="0" w:type="dxa"/>
          <w:right w:w="0" w:type="dxa"/>
        </w:tblCellMar>
      </w:tblPr>
      <w:tblGrid>
        <w:gridCol w:w="6885"/>
        <w:gridCol w:w="60"/>
        <w:gridCol w:w="140"/>
        <w:gridCol w:w="1175"/>
        <w:gridCol w:w="95"/>
        <w:gridCol w:w="60"/>
        <w:gridCol w:w="140"/>
        <w:gridCol w:w="1175"/>
        <w:gridCol w:w="475"/>
      </w:tblGrid>
      <w:tr>
        <w:trPr/>
        <w:tc>
          <w:tcPr>
            <w:tcW w:w="6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4" w:name="xdx_492_20240101__20241231_zZYSTr1FsAx1"/>
            <w:bookmarkEnd w:id="204"/>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5" w:name="xdx_49B_20230101__20231231_zl9IwkMKndsc"/>
            <w:bookmarkEnd w:id="205"/>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475" w:type="dxa"/>
            <w:tcBorders/>
            <w:vAlign w:val="center"/>
          </w:tcPr>
          <w:p>
            <w:pPr>
              <w:pStyle w:val="TableContents"/>
              <w:bidi w:val="0"/>
              <w:spacing w:before="0" w:after="283"/>
              <w:jc w:val="left"/>
              <w:rPr/>
            </w:pPr>
            <w:r>
              <w:rPr/>
              <w:t> </w:t>
            </w:r>
            <w:bookmarkStart w:id="206" w:name="xdx_406_eus-gaap--NetCashProvidedByUsedI"/>
            <w:bookmarkEnd w:id="206"/>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jc w:val="left"/>
              <w:rPr/>
            </w:pPr>
            <w:r>
              <w:rPr/>
              <w:t> </w:t>
            </w:r>
            <w:bookmarkStart w:id="207" w:name="xdx_405_eus-gaap--NetIncomeLoss_i01_maNC"/>
            <w:bookmarkEnd w:id="207"/>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(15,545,737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(23,534,947</w:t>
            </w:r>
          </w:p>
        </w:tc>
        <w:tc>
          <w:tcPr>
            <w:tcW w:w="475" w:type="dxa"/>
            <w:tcBorders/>
            <w:shd w:fill="FFFF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bookmarkStart w:id="208" w:name="xdx_40A_eus-gaap--AdjustmentsToReconcile"/>
            <w:bookmarkEnd w:id="208"/>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400"/>
              <w:jc w:val="left"/>
              <w:rPr/>
            </w:pPr>
            <w:r>
              <w:rPr/>
              <w:t> </w:t>
            </w:r>
            <w:bookmarkStart w:id="209" w:name="xdx_40C_eus-gaap--Depreciation_i02_maNCP"/>
            <w:bookmarkEnd w:id="209"/>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582,918</w:t>
            </w:r>
          </w:p>
        </w:tc>
        <w:tc>
          <w:tcPr>
            <w:tcW w:w="475" w:type="dxa"/>
            <w:tcBorders/>
            <w:shd w:fill="FFFFFF" w:val="clear"/>
            <w:vAlign w:val="center"/>
          </w:tcPr>
          <w:p>
            <w:pPr>
              <w:pStyle w:val="TableContents"/>
              <w:bidi w:val="0"/>
              <w:spacing w:before="0" w:after="283"/>
              <w:ind w:left="0" w:right="0" w:firstLine="400"/>
              <w:jc w:val="left"/>
              <w:rPr/>
            </w:pPr>
            <w:r>
              <w:rPr/>
              <w:t> </w:t>
            </w:r>
            <w:bookmarkStart w:id="210" w:name="xdx_409_eus-gaap--ShareBasedCompensation"/>
            <w:bookmarkEnd w:id="210"/>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812,670</w:t>
            </w:r>
          </w:p>
        </w:tc>
        <w:tc>
          <w:tcPr>
            <w:tcW w:w="475" w:type="dxa"/>
            <w:tcBorders/>
            <w:shd w:fill="CCEEFF" w:val="clear"/>
            <w:vAlign w:val="center"/>
          </w:tcPr>
          <w:p>
            <w:pPr>
              <w:pStyle w:val="TableContents"/>
              <w:bidi w:val="0"/>
              <w:spacing w:before="0" w:after="283"/>
              <w:ind w:left="0" w:right="0" w:firstLine="200"/>
              <w:jc w:val="left"/>
              <w:rPr/>
            </w:pPr>
            <w:r>
              <w:rPr/>
              <w:t> </w:t>
            </w:r>
            <w:bookmarkStart w:id="211" w:name="xdx_40E_eus-gaap--IncreaseDecreaseInOper"/>
            <w:bookmarkEnd w:id="211"/>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ind w:left="0" w:right="0" w:firstLine="200"/>
              <w:jc w:val="left"/>
              <w:rPr/>
            </w:pPr>
            <w:r>
              <w:rPr/>
              <w:t> </w:t>
            </w:r>
            <w:bookmarkStart w:id="212" w:name="xdx_409_eus-gaap--IncreaseDecreaseInAcco"/>
            <w:bookmarkEnd w:id="212"/>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219,810</w:t>
            </w:r>
          </w:p>
        </w:tc>
        <w:tc>
          <w:tcPr>
            <w:tcW w:w="475" w:type="dxa"/>
            <w:tcBorders/>
            <w:shd w:fill="CCEEFF" w:val="clear"/>
            <w:vAlign w:val="center"/>
          </w:tcPr>
          <w:p>
            <w:pPr>
              <w:pStyle w:val="TableContents"/>
              <w:bidi w:val="0"/>
              <w:spacing w:before="0" w:after="283"/>
              <w:ind w:left="0" w:right="0" w:firstLine="200"/>
              <w:jc w:val="left"/>
              <w:rPr/>
            </w:pPr>
            <w:r>
              <w:rPr/>
              <w:t> </w:t>
            </w:r>
            <w:bookmarkStart w:id="213" w:name="xdx_406_eus-gaap--IncreaseDecreaseInPrep"/>
            <w:bookmarkEnd w:id="213"/>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1,767,388</w:t>
            </w:r>
          </w:p>
        </w:tc>
        <w:tc>
          <w:tcPr>
            <w:tcW w:w="475" w:type="dxa"/>
            <w:tcBorders/>
            <w:shd w:fill="FFFFFF" w:val="clear"/>
            <w:vAlign w:val="center"/>
          </w:tcPr>
          <w:p>
            <w:pPr>
              <w:pStyle w:val="TableContents"/>
              <w:bidi w:val="0"/>
              <w:spacing w:before="0" w:after="283"/>
              <w:ind w:left="0" w:right="0" w:firstLine="200"/>
              <w:jc w:val="left"/>
              <w:rPr/>
            </w:pPr>
            <w:r>
              <w:rPr/>
              <w:t> </w:t>
            </w:r>
            <w:bookmarkStart w:id="214" w:name="xdx_406_ecustom--IncreaseDecreaseInOpera"/>
            <w:bookmarkEnd w:id="214"/>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263,741</w:t>
            </w:r>
          </w:p>
        </w:tc>
        <w:tc>
          <w:tcPr>
            <w:tcW w:w="475" w:type="dxa"/>
            <w:tcBorders/>
            <w:shd w:fill="CCEEFF" w:val="clear"/>
            <w:vAlign w:val="center"/>
          </w:tcPr>
          <w:p>
            <w:pPr>
              <w:pStyle w:val="TableContents"/>
              <w:bidi w:val="0"/>
              <w:spacing w:before="0" w:after="283"/>
              <w:ind w:left="0" w:right="0" w:firstLine="200"/>
              <w:jc w:val="left"/>
              <w:rPr/>
            </w:pPr>
            <w:r>
              <w:rPr/>
              <w:t> </w:t>
            </w:r>
            <w:bookmarkStart w:id="215" w:name="xdx_401_eus-gaap--IncreaseDecreaseInAcco"/>
            <w:bookmarkEnd w:id="215"/>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(4,540,719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5,193,632</w:t>
            </w:r>
          </w:p>
        </w:tc>
        <w:tc>
          <w:tcPr>
            <w:tcW w:w="475" w:type="dxa"/>
            <w:tcBorders/>
            <w:shd w:fill="FFFFFF" w:val="clear"/>
            <w:vAlign w:val="center"/>
          </w:tcPr>
          <w:p>
            <w:pPr>
              <w:pStyle w:val="TableContents"/>
              <w:bidi w:val="0"/>
              <w:spacing w:before="0" w:after="283"/>
              <w:ind w:left="0" w:right="0" w:firstLine="400"/>
              <w:jc w:val="left"/>
              <w:rPr/>
            </w:pPr>
            <w:r>
              <w:rPr/>
              <w:t> </w:t>
            </w:r>
            <w:bookmarkStart w:id="216" w:name="xdx_408_eus-gaap--IncreaseDecreaseInOper"/>
            <w:bookmarkEnd w:id="216"/>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(227,424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18,330</w:t>
            </w:r>
          </w:p>
        </w:tc>
        <w:tc>
          <w:tcPr>
            <w:tcW w:w="475" w:type="dxa"/>
            <w:tcBorders/>
            <w:shd w:fill="CCEEFF" w:val="clear"/>
            <w:vAlign w:val="center"/>
          </w:tcPr>
          <w:p>
            <w:pPr>
              <w:pStyle w:val="TableContents"/>
              <w:bidi w:val="0"/>
              <w:spacing w:before="0" w:after="283"/>
              <w:ind w:left="0" w:right="0" w:firstLine="400"/>
              <w:jc w:val="left"/>
              <w:rPr/>
            </w:pPr>
            <w:r>
              <w:rPr/>
              <w:t> </w:t>
            </w:r>
            <w:bookmarkStart w:id="217" w:name="xdx_407_ecustom--IncreaseDecreaseInLongt"/>
            <w:bookmarkEnd w:id="217"/>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(358,085</w:t>
            </w:r>
          </w:p>
        </w:tc>
        <w:tc>
          <w:tcPr>
            <w:tcW w:w="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8" w:name="xdx_40E_eus-gaap--NetCashProvidedByUsedI"/>
            <w:bookmarkEnd w:id="218"/>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(18,451,387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(15,034,543</w:t>
            </w:r>
          </w:p>
        </w:tc>
        <w:tc>
          <w:tcPr>
            <w:tcW w:w="4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bookmarkStart w:id="219" w:name="xdx_40F_eus-gaap--NetCashProvidedByUsedI"/>
            <w:bookmarkEnd w:id="219"/>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200"/>
              <w:jc w:val="left"/>
              <w:rPr/>
            </w:pPr>
            <w:r>
              <w:rPr/>
              <w:t> </w:t>
            </w:r>
            <w:bookmarkStart w:id="220" w:name="xdx_406_eus-gaap--PaymentsToAcquirePrope"/>
            <w:bookmarkEnd w:id="220"/>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(224,096</w:t>
            </w:r>
          </w:p>
        </w:tc>
        <w:tc>
          <w:tcPr>
            <w:tcW w:w="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1" w:name="xdx_409_eus-gaap--NetCashProvidedByUsedI"/>
            <w:bookmarkEnd w:id="221"/>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(211,800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(224,096</w:t>
            </w:r>
          </w:p>
        </w:tc>
        <w:tc>
          <w:tcPr>
            <w:tcW w:w="47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6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bookmarkStart w:id="222" w:name="xdx_40C_eus-gaap--NetCashProvidedByUsedI"/>
            <w:bookmarkEnd w:id="222"/>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jc w:val="left"/>
              <w:rPr/>
            </w:pPr>
            <w:r>
              <w:rPr/>
              <w:t> </w:t>
            </w:r>
            <w:bookmarkStart w:id="223" w:name="xdx_40B_eus-gaap--ProceedsFromIssuanceOf"/>
            <w:bookmarkEnd w:id="223"/>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the issuance of common stock and pre-funded common stock purchase warrants, net of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25,875,168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6,970,826</w:t>
            </w:r>
          </w:p>
        </w:tc>
        <w:tc>
          <w:tcPr>
            <w:tcW w:w="475" w:type="dxa"/>
            <w:tcBorders/>
            <w:shd w:fill="FFFFFF" w:val="clear"/>
            <w:vAlign w:val="center"/>
          </w:tcPr>
          <w:p>
            <w:pPr>
              <w:pStyle w:val="TableContents"/>
              <w:bidi w:val="0"/>
              <w:spacing w:before="0" w:after="283"/>
              <w:jc w:val="left"/>
              <w:rPr/>
            </w:pPr>
            <w:r>
              <w:rPr/>
              <w:t> </w:t>
            </w:r>
            <w:bookmarkStart w:id="224" w:name="xdx_404_eus-gaap--ProceedsFromNotesPayab"/>
            <w:bookmarkEnd w:id="224"/>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4,963,987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w:t>
            </w:r>
          </w:p>
        </w:tc>
        <w:tc>
          <w:tcPr>
            <w:tcW w:w="475" w:type="dxa"/>
            <w:tcBorders/>
            <w:shd w:fill="CCEEFF" w:val="clear"/>
            <w:vAlign w:val="center"/>
          </w:tcPr>
          <w:p>
            <w:pPr>
              <w:pStyle w:val="TableContents"/>
              <w:bidi w:val="0"/>
              <w:spacing w:before="0" w:after="283"/>
              <w:jc w:val="left"/>
              <w:rPr/>
            </w:pPr>
            <w:r>
              <w:rPr/>
              <w:t> </w:t>
            </w:r>
            <w:bookmarkStart w:id="225" w:name="xdx_405_eus-gaap--FinanceLeasePrincipalP"/>
            <w:bookmarkEnd w:id="225"/>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(16,047</w:t>
            </w:r>
          </w:p>
        </w:tc>
        <w:tc>
          <w:tcPr>
            <w:tcW w:w="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6" w:name="xdx_401_eus-gaap--NetCashProvidedByUsedI"/>
            <w:bookmarkEnd w:id="226"/>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30,822,092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9,954,779</w:t>
            </w:r>
          </w:p>
        </w:tc>
        <w:tc>
          <w:tcPr>
            <w:tcW w:w="475" w:type="dxa"/>
            <w:tcBorders/>
            <w:shd w:fill="CCEEFF" w:val="clear"/>
            <w:vAlign w:val="center"/>
          </w:tcPr>
          <w:p>
            <w:pPr>
              <w:pStyle w:val="TableContents"/>
              <w:bidi w:val="0"/>
              <w:spacing w:before="0" w:after="283"/>
              <w:jc w:val="left"/>
              <w:rPr/>
            </w:pPr>
            <w:r>
              <w:rPr/>
              <w:t> </w:t>
            </w:r>
          </w:p>
        </w:tc>
      </w:tr>
      <w:tr>
        <w:trPr/>
        <w:tc>
          <w:tcPr>
            <w:tcW w:w="6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bookmarkStart w:id="227" w:name="xdx_405_eus-gaap--CashCashEquivalentsRes"/>
            <w:bookmarkEnd w:id="227"/>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200"/>
              <w:jc w:val="left"/>
              <w:rPr/>
            </w:pPr>
            <w:r>
              <w:rPr/>
              <w:t> </w:t>
            </w:r>
            <w:bookmarkStart w:id="228" w:name="xdx_407_eus-gaap--CashCashEquivalentsRes"/>
            <w:bookmarkEnd w:id="228"/>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12,158,905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(5,303,860</w:t>
            </w:r>
          </w:p>
        </w:tc>
        <w:tc>
          <w:tcPr>
            <w:tcW w:w="475" w:type="dxa"/>
            <w:tcBorders/>
            <w:shd w:fill="FFFFFF" w:val="clear"/>
            <w:vAlign w:val="center"/>
          </w:tcPr>
          <w:p>
            <w:pPr>
              <w:pStyle w:val="TableContents"/>
              <w:bidi w:val="0"/>
              <w:spacing w:before="0" w:after="283"/>
              <w:ind w:left="0" w:right="0" w:firstLine="200"/>
              <w:jc w:val="left"/>
              <w:rPr>
                <w:rFonts w:ascii="Times New Roman;Times;Serif" w:hAnsi="Times New Roman;Times;Serif"/>
              </w:rPr>
            </w:pPr>
            <w:r>
              <w:rPr>
                <w:rFonts w:ascii="Times New Roman;Times;Serif" w:hAnsi="Times New Roman;Times;Serif"/>
              </w:rPr>
              <w:t>)</w:t>
            </w:r>
            <w:bookmarkStart w:id="229" w:name="xdx_406_eus-gaap--CashCashEquivalentsRes"/>
            <w:bookmarkEnd w:id="229"/>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5,356,276</w:t>
            </w:r>
          </w:p>
        </w:tc>
        <w:tc>
          <w:tcPr>
            <w:tcW w:w="475" w:type="dxa"/>
            <w:tcBorders/>
            <w:shd w:fill="CCEEFF" w:val="clear"/>
            <w:vAlign w:val="center"/>
          </w:tcPr>
          <w:p>
            <w:pPr>
              <w:pStyle w:val="TableContents"/>
              <w:bidi w:val="0"/>
              <w:spacing w:before="0" w:after="283"/>
              <w:ind w:left="0" w:right="0" w:firstLine="201"/>
              <w:jc w:val="left"/>
              <w:rPr/>
            </w:pPr>
            <w:r>
              <w:rPr/>
              <w:t> </w:t>
            </w:r>
            <w:bookmarkStart w:id="230" w:name="xdx_402_eus-gaap--CashCashEquivalentsRes"/>
            <w:bookmarkEnd w:id="230"/>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12,211,321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52,416</w:t>
            </w:r>
          </w:p>
        </w:tc>
        <w:tc>
          <w:tcPr>
            <w:tcW w:w="475" w:type="dxa"/>
            <w:tcBorders/>
            <w:shd w:fill="FFFFFF" w:val="clear"/>
            <w:vAlign w:val="center"/>
          </w:tcPr>
          <w:p>
            <w:pPr>
              <w:pStyle w:val="TableContents"/>
              <w:bidi w:val="0"/>
              <w:spacing w:before="0" w:after="283"/>
              <w:jc w:val="left"/>
              <w:rPr/>
            </w:pPr>
            <w:r>
              <w:rPr/>
              <w:t> </w:t>
            </w:r>
            <w:bookmarkStart w:id="231" w:name="xdx_405_eus-gaap--NoncashInvestingAndFin"/>
            <w:bookmarkEnd w:id="231"/>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jc w:val="left"/>
              <w:rPr/>
            </w:pPr>
            <w:r>
              <w:rPr/>
              <w:t> </w:t>
            </w:r>
            <w:bookmarkStart w:id="232" w:name="xdx_404_eus-gaap--CapitalExpendituresInc"/>
            <w:bookmarkEnd w:id="232"/>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accrued but not paid at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186,960</w:t>
            </w:r>
          </w:p>
        </w:tc>
        <w:tc>
          <w:tcPr>
            <w:tcW w:w="475" w:type="dxa"/>
            <w:tcBorders/>
            <w:shd w:fill="FFFFFF" w:val="clear"/>
            <w:vAlign w:val="center"/>
          </w:tcPr>
          <w:p>
            <w:pPr>
              <w:pStyle w:val="TableContents"/>
              <w:bidi w:val="0"/>
              <w:spacing w:before="0" w:after="283"/>
              <w:jc w:val="left"/>
              <w:rPr/>
            </w:pPr>
            <w:r>
              <w:rPr/>
              <w:t> </w:t>
            </w:r>
            <w:bookmarkStart w:id="233" w:name="xdx_40B_eus-gaap--SupplementalCashFlowIn"/>
            <w:bookmarkEnd w:id="233"/>
          </w:p>
        </w:tc>
      </w:tr>
      <w:tr>
        <w:trPr/>
        <w:tc>
          <w:tcPr>
            <w:tcW w:w="68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400"/>
              <w:jc w:val="left"/>
              <w:rPr/>
            </w:pPr>
            <w:r>
              <w:rPr/>
              <w:t> </w:t>
            </w:r>
            <w:bookmarkStart w:id="234" w:name="xdx_404_eus-gaap--InterestPaidNet_i01_zT"/>
            <w:bookmarkEnd w:id="234"/>
          </w:p>
        </w:tc>
      </w:tr>
      <w:tr>
        <w:trPr/>
        <w:tc>
          <w:tcPr>
            <w:tcW w:w="6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paid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19,421</w:t>
            </w:r>
          </w:p>
        </w:tc>
        <w:tc>
          <w:tcPr>
            <w:tcW w:w="4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35" w:name="xdx_80C_eus-gaap--BusinessDescriptionAnd"/>
      <w:bookmarkEnd w:id="235"/>
      <w:r>
        <w:rPr>
          <w:rFonts w:ascii="Times New Roman;Times;Serif" w:hAnsi="Times New Roman;Times;Serif"/>
          <w:b/>
          <w:i w:val="false"/>
          <w:caps w:val="false"/>
          <w:smallCaps w:val="false"/>
          <w:sz w:val="20"/>
        </w:rPr>
        <w:t xml:space="preserve">(1) </w:t>
      </w:r>
      <w:bookmarkStart w:id="236" w:name="xdx_82A_zp2CfAFzUwQa"/>
      <w:bookmarkEnd w:id="236"/>
      <w:r>
        <w:rPr>
          <w:rFonts w:ascii="Times New Roman;Times;Serif" w:hAnsi="Times New Roman;Times;Serif"/>
          <w:b/>
          <w:i w:val="false"/>
          <w:caps w:val="false"/>
          <w:smallCaps w:val="false"/>
          <w:sz w:val="20"/>
        </w:rPr>
        <w:t>Nature of the Business and Liquidity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Organization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(Cingulate or the Company), a Delaware corporation, is a biopharmaceutical company focused on the development of products utilizing its drug delivery platform technology that enables the formulation and manufacture of once-daily tablets of multi-dose therapies, with an initial focus on the treatment of Attention Deficit/Hyperactivity Disorder (ADHD). The Company is developing two proprietary, first-line stimulant medications, CTx-1301 (dexmethylphenidate) and CTx-1302 (dextroamphetamine), for the treatment of ADHD intended for all patient segments: children, adolescents, and adults. CTx-1301 and CTx-1302 utilize a flexible core tableting technology with target product profile designed to deliver a rapid onset and last the entire active day with a controlled descent of plasma drug level and have favorable tolerability. In addition, the Company has a third product to treat anxiety, CTx-2103, in a formulation stage.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and negative cash flows from operations since inception. As a pre-revenue entity, the Company is dependent on the ability to raise capital to support operations until such time as the product candidates under development are U.S. Food and Drug Administration (FDA) approved, manufactured, commercially available to the marketplace and produce revenues. On December 31, 2024, the Company had cash and cash equivalents of approximately $</w:t>
      </w:r>
      <w:bookmarkStart w:id="237" w:name="xdx_909_eus-gaap--CashAndCashEquivalents"/>
      <w:bookmarkEnd w:id="237"/>
      <w:r>
        <w:rPr>
          <w:rFonts w:ascii="Times New Roman;Times;Serif" w:hAnsi="Times New Roman;Times;Serif"/>
          <w:b w:val="false"/>
          <w:i w:val="false"/>
          <w:caps w:val="false"/>
          <w:smallCaps w:val="false"/>
          <w:sz w:val="20"/>
        </w:rPr>
        <w:t>12.2 million, and an accumulated deficit of approximately $</w:t>
      </w:r>
      <w:bookmarkStart w:id="238" w:name="xdx_903_eus-gaap--RetainedEarningsAccumu"/>
      <w:bookmarkEnd w:id="238"/>
      <w:r>
        <w:rPr>
          <w:rFonts w:ascii="Times New Roman;Times;Serif" w:hAnsi="Times New Roman;Times;Serif"/>
          <w:b w:val="false"/>
          <w:i w:val="false"/>
          <w:caps w:val="false"/>
          <w:smallCaps w:val="false"/>
          <w:sz w:val="20"/>
        </w:rPr>
        <w:t>108.5 million. However, the Company will need additional funding for operations and development. Management is evaluating various strategies to obtain additional funding, which may include additional offerings of equity, issuance of debt, or other capital sources, including potential collaborations with other companies or other strategic transactions. Successful implementation of these plans involves both the Company’s efforts and factors that are outside its control, such as market factors and FDA approval of product candidates. The Company can give no assurance that its plans will be effectively implemented in such a way that they will sufficiently alleviate or mitigate the conditions and events noted above, which results in substantial doubt about the Company’s ability to continue as a going concern within one year after the date that the financial statements are issued. The accompanying consolidated financial statements have been prepared on a going concern basis, which contemplates the realization of assets and satisfaction of liabilities in the normal course of business. The consolidated financial statements do not reflect any adjustments that might result from the outcome of this uncertainty.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39" w:name="xdx_800_eus-gaap--SignificantAccountingP"/>
      <w:bookmarkEnd w:id="239"/>
      <w:r>
        <w:rPr>
          <w:rFonts w:ascii="Times New Roman;Times;Serif" w:hAnsi="Times New Roman;Times;Serif"/>
          <w:b/>
          <w:i w:val="false"/>
          <w:caps w:val="false"/>
          <w:smallCaps w:val="false"/>
          <w:sz w:val="20"/>
        </w:rPr>
        <w:t xml:space="preserve">(2) </w:t>
      </w:r>
      <w:bookmarkStart w:id="240" w:name="xdx_82B_znqMvPRvpD24"/>
      <w:bookmarkEnd w:id="240"/>
      <w:r>
        <w:rPr>
          <w:rFonts w:ascii="Times New Roman;Times;Serif" w:hAnsi="Times New Roman;Times;Serif"/>
          <w:b/>
          <w:i w:val="false"/>
          <w:caps w:val="false"/>
          <w:smallCaps w:val="false"/>
          <w:sz w:val="20"/>
        </w:rPr>
        <w:t>Summary of Significant Accounting Policies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1" w:name="xdx_845_eus-gaap--BasisOfAccountingPolic"/>
      <w:bookmarkEnd w:id="241"/>
      <w:r>
        <w:rPr>
          <w:rFonts w:ascii="Times New Roman;Times;Serif" w:hAnsi="Times New Roman;Times;Serif"/>
          <w:b/>
          <w:i w:val="false"/>
          <w:caps w:val="false"/>
          <w:smallCaps w:val="false"/>
          <w:sz w:val="20"/>
        </w:rPr>
        <w:t xml:space="preserve">(a) </w:t>
      </w:r>
      <w:bookmarkStart w:id="242" w:name="xdx_86B_zgMb9HdmFty5"/>
      <w:bookmarkEnd w:id="242"/>
      <w:r>
        <w:rPr>
          <w:rFonts w:ascii="Times New Roman;Times;Serif" w:hAnsi="Times New Roman;Times;Serif"/>
          <w:b/>
          <w:i w:val="false"/>
          <w:caps w:val="false"/>
          <w:smallCaps w:val="false"/>
          <w:sz w:val="20"/>
        </w:rPr>
        <w:t>Basis of Presentation and Principles of Consolidation</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U.S. generally accepted accounting principles (U.S. GAAP). The consolidated financial statements include the accounts of Cingulate and its wholly-owned subsidiaries. All intercompany accounts and transactions have been eliminated in consolidation.</w:t>
      </w:r>
    </w:p>
    <w:p>
      <w:pPr>
        <w:pStyle w:val="TextBody"/>
        <w:bidi w:val="0"/>
        <w:ind w:left="72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43" w:name="xdx_844_eus-gaap--UseOfEstimates_z1hrKqV"/>
      <w:bookmarkEnd w:id="243"/>
      <w:r>
        <w:rPr>
          <w:rFonts w:ascii="Times New Roman;Times;Serif" w:hAnsi="Times New Roman;Times;Serif"/>
          <w:b/>
          <w:i w:val="false"/>
          <w:caps w:val="false"/>
          <w:smallCaps w:val="false"/>
          <w:sz w:val="20"/>
        </w:rPr>
        <w:t xml:space="preserve">(b) </w:t>
      </w:r>
      <w:bookmarkStart w:id="244" w:name="xdx_86D_zhwFUkuTLSUh"/>
      <w:bookmarkEnd w:id="244"/>
      <w:r>
        <w:rPr>
          <w:rFonts w:ascii="Times New Roman;Times;Serif" w:hAnsi="Times New Roman;Times;Serif"/>
          <w:b/>
          <w:i w:val="false"/>
          <w:caps w:val="false"/>
          <w:smallCaps w:val="false"/>
          <w:sz w:val="20"/>
        </w:rPr>
        <w:t>Use of Estimates</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a reporting period. Actual results could differ from estimates.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assumptions are periodically reviewed and the effects of revisions are reflected in the consolidated financial statements in the period they are determined to be necessary.</w:t>
      </w:r>
    </w:p>
    <w:p>
      <w:pPr>
        <w:pStyle w:val="TextBody"/>
        <w:bidi w:val="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5" w:name="xdx_840_eus-gaap--ConcentrationRiskCredi"/>
      <w:bookmarkEnd w:id="245"/>
      <w:r>
        <w:rPr>
          <w:rFonts w:ascii="Times New Roman;Times;Serif" w:hAnsi="Times New Roman;Times;Serif"/>
          <w:b/>
          <w:i w:val="false"/>
          <w:caps w:val="false"/>
          <w:smallCaps w:val="false"/>
          <w:sz w:val="20"/>
        </w:rPr>
        <w:t xml:space="preserve">(c) </w:t>
      </w:r>
      <w:bookmarkStart w:id="246" w:name="xdx_868_z4zHavSzN7Bc"/>
      <w:bookmarkEnd w:id="246"/>
      <w:r>
        <w:rPr>
          <w:rFonts w:ascii="Times New Roman;Times;Serif" w:hAnsi="Times New Roman;Times;Serif"/>
          <w:b/>
          <w:i w:val="false"/>
          <w:caps w:val="false"/>
          <w:smallCaps w:val="false"/>
          <w:sz w:val="20"/>
        </w:rPr>
        <w:t>Concentration of Credit Risk</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equivalent deposits, which at various times throughout the fiscal year exceeded the amounts insured by the Federal Deposit Insurance Corporation limit of $</w:t>
      </w:r>
      <w:bookmarkStart w:id="247" w:name="xdx_905_eus-gaap--TimeDepositsAtOrAboveF"/>
      <w:bookmarkEnd w:id="247"/>
      <w:r>
        <w:rPr>
          <w:rFonts w:ascii="Times New Roman;Times;Serif" w:hAnsi="Times New Roman;Times;Serif"/>
          <w:b w:val="false"/>
          <w:i w:val="false"/>
          <w:caps w:val="false"/>
          <w:smallCaps w:val="false"/>
          <w:sz w:val="20"/>
        </w:rPr>
        <w:t>250,000 (without regard to reconciling items). Management monitors the soundness of these financial institutions and does not believe the Company is subject to any material credit risk relative to the uninsured portion of the deposits.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48" w:name="xdx_842_eus-gaap--NewAccountingPronounce"/>
      <w:bookmarkEnd w:id="248"/>
      <w:r>
        <w:rPr>
          <w:rFonts w:ascii="Times New Roman;Times;Serif" w:hAnsi="Times New Roman;Times;Serif"/>
          <w:b/>
          <w:i w:val="false"/>
          <w:caps w:val="false"/>
          <w:smallCaps w:val="false"/>
          <w:sz w:val="20"/>
        </w:rPr>
        <w:t xml:space="preserve">(d) </w:t>
      </w:r>
      <w:bookmarkStart w:id="249" w:name="xdx_868_zjybEKPqmVqc"/>
      <w:bookmarkEnd w:id="249"/>
      <w:r>
        <w:rPr>
          <w:rFonts w:ascii="Times New Roman;Times;Serif" w:hAnsi="Times New Roman;Times;Serif"/>
          <w:b/>
          <w:i w:val="false"/>
          <w:caps w:val="false"/>
          <w:smallCaps w:val="false"/>
          <w:sz w:val="20"/>
        </w:rPr>
        <w:t>Recent Accounting Pronouncements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assesses any new accounting pronouncements to determine their applicability. When it is determined that a new accounting pronouncement may affect the Company’s financial reporting, the Company undertakes an analysis to determine any required changes to its consolidated financial statements and assures that there are proper controls in place to ascertain that the Company’s consolidated financial statements properly reflect the change.</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Financial Accounting Standards Board (FASB) issued Accounting Standards Update (ASU) 2024-03,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xml:space="preserve"> (Subtopic 220-40): Disaggregation of Income Statement Expenses. ASU 2024-03 requires additional disclosures of certain expenses in the notes of the financial statements, to provide enhanced transparency into the expense captions presented on the consolidated statements of operations. Additionally, in January 2025, the FASB issued ASU 2025-01,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xml:space="preserve"> (Subtopic 220-40), to clarify the effective date of ASU 2024-03. The new standard is effective for the Company for its annual periods beginning January 1, 2028 and for interim periods beginning January 1, 2028, with early adoption permitted. The Company is currently evaluating the impact of adopting the standard.</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(Topic 740): Improvements to Income Tax Disclosures. ASU 2023-09 requires entities to disclose specific rate reconciliations, amount of income taxes separated by federal and individual jurisdiction, and the amount of income (loss) from continuing operations before income tax expense (benefit) disaggregated between federal, state, and foreign. The new standard is effective for the Company for its annual periods beginning January 1, 2026, with early adoption permitted. The Company is currently evaluating the impact of adopting the standard.</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 xml:space="preserve">Segment Reporting </w:t>
      </w:r>
      <w:r>
        <w:rPr>
          <w:rFonts w:ascii="Times New Roman;Times;Serif" w:hAnsi="Times New Roman;Times;Serif"/>
          <w:b w:val="false"/>
          <w:i w:val="false"/>
          <w:caps w:val="false"/>
          <w:smallCaps w:val="false"/>
          <w:sz w:val="20"/>
        </w:rPr>
        <w:t>(Topic 280): Improvements to Reportable Segment Disclosures. ASU 2023-07 is designed to improve the reportable segment disclosure requirements, primarily through enhanced disclosures about significant segment expenses that are regularly provided to the Company’s chief operating decision–making group (CODM). The new standard is effective for the Company for its annual periods beginning January 1, 2024 and for interim periods beginning January 1, 2025, with early adoption permitted. The Company adopted ASU 2023-07 on January 1, 2024, and the impacts of the adoption are reflected in the segment disclosure section of the Summary of Significant Accounting Policies.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50" w:name="xdx_846_eus-gaap--CashAndCashEquivalents"/>
      <w:bookmarkEnd w:id="250"/>
      <w:r>
        <w:rPr>
          <w:rFonts w:ascii="Times New Roman;Times;Serif" w:hAnsi="Times New Roman;Times;Serif"/>
          <w:b/>
          <w:i w:val="false"/>
          <w:caps w:val="false"/>
          <w:smallCaps w:val="false"/>
          <w:sz w:val="20"/>
        </w:rPr>
        <w:t xml:space="preserve">(e) </w:t>
      </w:r>
      <w:bookmarkStart w:id="251" w:name="xdx_864_z0r0hTt6PgVd"/>
      <w:bookmarkEnd w:id="251"/>
      <w:r>
        <w:rPr>
          <w:rFonts w:ascii="Times New Roman;Times;Serif" w:hAnsi="Times New Roman;Times;Serif"/>
          <w:b/>
          <w:i w:val="false"/>
          <w:caps w:val="false"/>
          <w:smallCaps w:val="false"/>
          <w:sz w:val="20"/>
        </w:rPr>
        <w:t>Cash and Cash Equivalents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demand deposit accounts and short-term liquid investments with an initial maturity of three months or less are considered cash and cash equivalents. Cash and cash equivalents as of December 31, 2024 and 2023 consisted of bank deposits and short-term money market funds. Cash and cash equivalents are carried at cost which is indicative of fair value.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52" w:name="xdx_84B_eus-gaap--PropertyPlantAndEquipm"/>
      <w:bookmarkEnd w:id="252"/>
      <w:r>
        <w:rPr>
          <w:rFonts w:ascii="Times New Roman;Times;Serif" w:hAnsi="Times New Roman;Times;Serif"/>
          <w:b/>
          <w:i w:val="false"/>
          <w:caps w:val="false"/>
          <w:smallCaps w:val="false"/>
          <w:sz w:val="20"/>
        </w:rPr>
        <w:t xml:space="preserve">(f) </w:t>
      </w:r>
      <w:bookmarkStart w:id="253" w:name="xdx_86A_z46Jfy6Ud3p4"/>
      <w:bookmarkEnd w:id="253"/>
      <w:r>
        <w:rPr>
          <w:rFonts w:ascii="Times New Roman;Times;Serif" w:hAnsi="Times New Roman;Times;Serif"/>
          <w:b/>
          <w:i w:val="false"/>
          <w:caps w:val="false"/>
          <w:smallCaps w:val="false"/>
          <w:sz w:val="20"/>
        </w:rPr>
        <w:t>Property and Equipment, net</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are stated at cost, less accumulated depreciation. Maintenance and repairs are charged to expense when incurred. Property and equipment are depreciated using the straight-line method over the estimated remaining useful lives or, for leasehold improvements or leased assets under a financing lease, the life of the lease if shorter.</w:t>
      </w:r>
    </w:p>
    <w:p>
      <w:pPr>
        <w:pStyle w:val="TextBody"/>
        <w:bidi w:val="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54" w:name="xdx_847_eus-gaap--LesseeLeasesPolicyText"/>
      <w:bookmarkEnd w:id="254"/>
      <w:r>
        <w:rPr>
          <w:rFonts w:ascii="Times New Roman;Times;Serif" w:hAnsi="Times New Roman;Times;Serif"/>
          <w:b/>
          <w:i w:val="false"/>
          <w:caps w:val="false"/>
          <w:smallCaps w:val="false"/>
          <w:sz w:val="20"/>
        </w:rPr>
        <w:t xml:space="preserve">(g) </w:t>
      </w:r>
      <w:bookmarkStart w:id="255" w:name="xdx_867_zURaw3iNe5ha"/>
      <w:bookmarkEnd w:id="255"/>
      <w:r>
        <w:rPr>
          <w:rFonts w:ascii="Times New Roman;Times;Serif" w:hAnsi="Times New Roman;Times;Serif"/>
          <w:b/>
          <w:i w:val="false"/>
          <w:caps w:val="false"/>
          <w:smallCaps w:val="false"/>
          <w:sz w:val="20"/>
        </w:rPr>
        <w:t>Leases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lessee in a noncancellable operating lease, relating to office space at the Kansas City headquarters office and a finance lease, for certain furniture and equipment. The Company also leased office space in New Jersey under an operating lease which expired on December 31, 2023.</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or contains a lease at contract inception. The Company recognizes a ROU asset and a lease liability at the lease commencement date. For operating leases, the lease liability is initially and subsequently measured at the present value of the unpaid lease payments at the lease commencement date. For finance leases, the lease liability is initially measured in the same manner and date as for operating leases and is subsequently measured at amortized cost using the effective-interest method.</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discount rate it uses to discount the unpaid lease payments to present value, which requires management judgement. ASC 842 requires a lessee to discount its unpaid lease payments using the interest rate implicit in the lease or, if that rate cannot be readily determined, its incremental borrowing rate. The implicit rate was stated in the agreement for one of the Company’s leases; however, for the others, the implicit rate was not determinable as the Company did not have access to the lessor’s estimated residual value or the amount of the lessor’s deferred initial direct costs. Therefore, the Company uses its incremental borrowing rate as the discount rate for these leases. The Company’s incremental borrowing rate for a lease is the rate of interest it would have to pay on a collateralized basis to borrow an amount equal to the lease payments under similar terms. Because the Company has not been able to borrow on a collateralized basis, it has determined a synthetic credit rating based on factors that a credit rating agency would typically analyze when establishing an entity’s credit rating. Due to the fact that the Company is a pre-revenue entity, the Company determined that its incremental borrowing rate should be based on the composite CCC and lower bond spreads at the lease measurement dates plus a risk-free rate based on specific lease maturities.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ROU asset is initially measured at cost, which comprises the initial amount of the lease liability adjusted for lease payments made at or before the lease commencement date, plus any initial direct costs incurred less any lease incentives received.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operating leases, the ROU asset is subsequently measured throughout the lease term at the carrying amount of the lease liability, plus initial direct costs, plus (minus) any prepaid (accrued) lease payments, less the unamortized balance of cumulative lease incentives received. Lease expense is recognized on a straight-line basis over the lease term which includes the accretion of the lease liability and amortization of the ROU asset.</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finance leases, the ROU asset is subsequently amortized using the straight-line method from the lease commencement date to the earlier of the end of its useful life or the end of the lease term unless the lease transfers ownerships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ROU assets for operating and finance leases are evaluated for impairment losses under the long-lived assets impairment guidance in ASC Subtopic 360-10, </w:t>
      </w:r>
      <w:r>
        <w:rPr>
          <w:rFonts w:ascii="Times New Roman;Times;Serif" w:hAnsi="Times New Roman;Times;Serif"/>
          <w:b w:val="false"/>
          <w:i/>
          <w:caps w:val="false"/>
          <w:smallCaps w:val="false"/>
          <w:sz w:val="20"/>
        </w:rPr>
        <w:t>Property and Equipment-Overall</w:t>
      </w:r>
      <w:r>
        <w:rPr>
          <w:rFonts w:ascii="Times New Roman;Times;Serif" w:hAnsi="Times New Roman;Times;Serif"/>
          <w:b w:val="false"/>
          <w:i w:val="false"/>
          <w:caps w:val="false"/>
          <w:smallCaps w:val="false"/>
          <w:sz w:val="20"/>
        </w:rPr>
        <w:t>. The ROU asset is assessed for impairment with the asset group within which it resides.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are presented as operating lease right-of-use assets on the consolidated balance sheet. The current and long-term portions of operating lease liabilities are presented separately on the consolidated balance sheet. Finance lease ROU assets are included in property, plant, and equipment. The current and long-term portions of finance lease liabilities are presented separately on the consolidated balance sheet.</w:t>
      </w:r>
    </w:p>
    <w:p>
      <w:pPr>
        <w:pStyle w:val="TextBody"/>
        <w:bidi w:val="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56" w:name="xdx_845_eus-gaap--ImpairmentOrDisposalOf"/>
      <w:bookmarkEnd w:id="256"/>
      <w:r>
        <w:rPr>
          <w:rFonts w:ascii="Times New Roman;Times;Serif" w:hAnsi="Times New Roman;Times;Serif"/>
          <w:b/>
          <w:i w:val="false"/>
          <w:caps w:val="false"/>
          <w:smallCaps w:val="false"/>
          <w:sz w:val="20"/>
        </w:rPr>
        <w:t xml:space="preserve">(h) </w:t>
      </w:r>
      <w:bookmarkStart w:id="257" w:name="xdx_868_zfCbVPIYTS2"/>
      <w:bookmarkEnd w:id="257"/>
      <w:r>
        <w:rPr>
          <w:rFonts w:ascii="Times New Roman;Times;Serif" w:hAnsi="Times New Roman;Times;Serif"/>
          <w:b/>
          <w:i w:val="false"/>
          <w:caps w:val="false"/>
          <w:smallCaps w:val="false"/>
          <w:sz w:val="20"/>
        </w:rPr>
        <w:t>Impairment of Long-lived Assets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carrying value of its long-lived assets, including property and equipment, as well as lease ROU assets, when events or circumstances indicate that the carrying value of such assets may not be recoverable. These events or changes in circumstances may include a significant deterioration of operating results, changes in business plans, or changes in anticipated future cash flows. If an impairment indicator is present, the Company evaluates recoverability by a comparison of the carrying amount of the assets to future undiscounted cash flows expected to be generated by the assets. If the sum of the expected future cash flows is less than the carrying amount, the Company would recognize an impairment loss. An impairment loss would be measured by comparing the amount by which the carrying value exceeds the fair value of the long-lived asset groups. No impairment was recognized during the years ended December 31, 2024 or 2023.</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58" w:name="xdx_84A_eus-gaap--ResearchAndDevelopment"/>
      <w:bookmarkEnd w:id="258"/>
      <w:r>
        <w:rPr>
          <w:rFonts w:ascii="Times New Roman;Times;Serif" w:hAnsi="Times New Roman;Times;Serif"/>
          <w:b/>
          <w:i w:val="false"/>
          <w:caps w:val="false"/>
          <w:smallCaps w:val="false"/>
          <w:sz w:val="20"/>
        </w:rPr>
        <w:t xml:space="preserve">(i) </w:t>
      </w:r>
      <w:bookmarkStart w:id="259" w:name="xdx_868_zLpB8BsQ8b1a"/>
      <w:bookmarkEnd w:id="259"/>
      <w:r>
        <w:rPr>
          <w:rFonts w:ascii="Times New Roman;Times;Serif" w:hAnsi="Times New Roman;Times;Serif"/>
          <w:b/>
          <w:i w:val="false"/>
          <w:caps w:val="false"/>
          <w:smallCaps w:val="false"/>
          <w:sz w:val="20"/>
        </w:rPr>
        <w:t>Research and Development</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and include all direct and indirect costs associated with the development of the Company’s product candidates. These expenses include payments to third parties for research, development and manufacturing services, personnel costs and depreciation on manufacturing equipment.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service providers and the progress that the Company estimates has been made as a result of the service provided, the Company may record net prepaid or accrued expense relating to these costs.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60" w:name="xdx_84E_eus-gaap--CompensationRelatedCos"/>
      <w:bookmarkEnd w:id="260"/>
      <w:r>
        <w:rPr>
          <w:rFonts w:ascii="Times New Roman;Times;Serif" w:hAnsi="Times New Roman;Times;Serif"/>
          <w:b/>
          <w:i w:val="false"/>
          <w:caps w:val="false"/>
          <w:smallCaps w:val="false"/>
          <w:sz w:val="20"/>
        </w:rPr>
        <w:t xml:space="preserve">(j) </w:t>
      </w:r>
      <w:bookmarkStart w:id="261" w:name="xdx_867_zxbpr1cLej01"/>
      <w:bookmarkEnd w:id="261"/>
      <w:r>
        <w:rPr>
          <w:rFonts w:ascii="Times New Roman;Times;Serif" w:hAnsi="Times New Roman;Times;Serif"/>
          <w:b/>
          <w:i w:val="false"/>
          <w:caps w:val="false"/>
          <w:smallCaps w:val="false"/>
          <w:sz w:val="20"/>
        </w:rPr>
        <w:t>Stock-Based Compensation</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employee and director stock-based compensation expense for all stock-based awards based on their grant date fair value using the Black-Scholes option-pricing model. For stock-based awards with service conditions, stock-based compensation expense is recognized over the requisite service period using the straight-line method. Forfeitures are recognized as they occur. See additional information in Note 12.</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62" w:name="xdx_847_eus-gaap--SegmentReportingPolicy"/>
      <w:bookmarkEnd w:id="262"/>
      <w:r>
        <w:rPr>
          <w:rFonts w:ascii="Times New Roman;Times;Serif" w:hAnsi="Times New Roman;Times;Serif"/>
          <w:b/>
          <w:i w:val="false"/>
          <w:caps w:val="false"/>
          <w:smallCaps w:val="false"/>
          <w:sz w:val="20"/>
        </w:rPr>
        <w:t xml:space="preserve">(k) </w:t>
      </w:r>
      <w:bookmarkStart w:id="263" w:name="xdx_86C_z8Q2R1P9e1ug"/>
      <w:bookmarkEnd w:id="263"/>
      <w:r>
        <w:rPr>
          <w:rFonts w:ascii="Times New Roman;Times;Serif" w:hAnsi="Times New Roman;Times;Serif"/>
          <w:b/>
          <w:i w:val="false"/>
          <w:caps w:val="false"/>
          <w:smallCaps w:val="false"/>
          <w:sz w:val="20"/>
        </w:rPr>
        <w:t>Segments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discrete financial information is available and regularly reviewed by the chief operating decision maker (“CODM”) in deciding how to allocate resources and in assessing performance. The Company manages its business activities on a consolidated basis and operates as a single operating segment dedicated to the research and development and manufacturing of its product candidates. The Company’s CODM is its Chief Executive Officer. The CODM uses net loss, as reported in the Company’s Consolidated Statements of Comprehensive Loss, in evaluating performance of its segment and determining how to allocate resources of the Company as a whole, including investing in its research and development activities.</w:t>
      </w:r>
    </w:p>
    <w:p>
      <w:pPr>
        <w:pStyle w:val="TextBody"/>
        <w:bidi w:val="0"/>
        <w:ind w:left="720" w:right="0" w:hanging="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used by the CODM for segment assets is reported in the Consolidated Balance Sheets as total consolidated assets.</w:t>
      </w:r>
    </w:p>
    <w:p>
      <w:pPr>
        <w:pStyle w:val="TextBody"/>
        <w:bidi w:val="0"/>
        <w:ind w:left="72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ind w:left="720" w:right="0" w:hanging="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264" w:name="xdx_897_eus-gaap--ScheduleOfSegmentRepor"/>
      <w:bookmarkEnd w:id="264"/>
      <w:r>
        <w:rPr>
          <w:rFonts w:ascii="Times New Roman;Times;Serif" w:hAnsi="Times New Roman;Times;Serif"/>
          <w:b w:val="false"/>
          <w:i w:val="false"/>
          <w:caps w:val="false"/>
          <w:smallCaps w:val="false"/>
          <w:sz w:val="20"/>
        </w:rPr>
        <w:t>The following table presents the operating results of the Company’s segment:</w:t>
      </w:r>
    </w:p>
    <w:p>
      <w:pPr>
        <w:pStyle w:val="TextBody"/>
        <w:bidi w:val="0"/>
        <w:ind w:left="720" w:right="0" w:hanging="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bookmarkStart w:id="265" w:name="xdx_8B4_zILutMvgKTX3"/>
      <w:bookmarkEnd w:id="265"/>
      <w:r>
        <w:rPr>
          <w:rFonts w:ascii="Times New Roman;Times;Serif" w:hAnsi="Times New Roman;Times;Serif"/>
          <w:b w:val="false"/>
          <w:i w:val="false"/>
          <w:caps w:val="false"/>
          <w:smallCaps w:val="false"/>
          <w:sz w:val="20"/>
        </w:rPr>
        <w:t>Schedule of operating results of company’s segment</w:t>
      </w:r>
    </w:p>
    <w:tbl>
      <w:tblPr>
        <w:tblW w:w="6755" w:type="dxa"/>
        <w:jc w:val="left"/>
        <w:tblInd w:w="0" w:type="dxa"/>
        <w:tblLayout w:type="fixed"/>
        <w:tblCellMar>
          <w:top w:w="0" w:type="dxa"/>
          <w:left w:w="0" w:type="dxa"/>
          <w:bottom w:w="0" w:type="dxa"/>
          <w:right w:w="0" w:type="dxa"/>
        </w:tblCellMar>
      </w:tblPr>
      <w:tblGrid>
        <w:gridCol w:w="3800"/>
        <w:gridCol w:w="60"/>
        <w:gridCol w:w="140"/>
        <w:gridCol w:w="1175"/>
        <w:gridCol w:w="95"/>
        <w:gridCol w:w="60"/>
        <w:gridCol w:w="140"/>
        <w:gridCol w:w="1175"/>
        <w:gridCol w:w="110"/>
      </w:tblGrid>
      <w:tr>
        <w:trPr/>
        <w:tc>
          <w:tcPr>
            <w:tcW w:w="380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266" w:name="xdx_495_20240101__20241231_zgau8JIHXY3"/>
            <w:bookmarkEnd w:id="266"/>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267" w:name="xdx_49A_20230101__20231231_zGLTUwxI1Qng"/>
            <w:bookmarkEnd w:id="267"/>
          </w:p>
        </w:tc>
        <w:tc>
          <w:tcPr>
            <w:tcW w:w="11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68" w:name="xdx_40F_eus-gaap--OperatingExpensesAbstr"/>
            <w:bookmarkEnd w:id="268"/>
          </w:p>
        </w:tc>
      </w:tr>
      <w:tr>
        <w:trPr/>
        <w:tc>
          <w:tcPr>
            <w:tcW w:w="38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ind w:left="0" w:right="0" w:hanging="0"/>
              <w:jc w:val="center"/>
              <w:rPr/>
            </w:pPr>
            <w:r>
              <w:rPr/>
              <w:t> </w:t>
            </w:r>
            <w:bookmarkStart w:id="269" w:name="xdx_403_eus-gaap--ResearchAndDevelopment"/>
            <w:bookmarkEnd w:id="269"/>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270" w:name="xdx_40A_eus-gaap--ResearchAndDevelopment"/>
            <w:bookmarkEnd w:id="270"/>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Clinical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4,711,745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8,344,759</w:t>
            </w:r>
          </w:p>
        </w:tc>
        <w:tc>
          <w:tcPr>
            <w:tcW w:w="110" w:type="dxa"/>
            <w:tcBorders/>
            <w:shd w:fill="FFFFFF" w:val="clear"/>
            <w:vAlign w:val="center"/>
          </w:tcPr>
          <w:p>
            <w:pPr>
              <w:pStyle w:val="TableContents"/>
              <w:bidi w:val="0"/>
              <w:spacing w:before="0" w:after="283"/>
              <w:ind w:left="0" w:right="0" w:hanging="0"/>
              <w:jc w:val="left"/>
              <w:rPr/>
            </w:pPr>
            <w:r>
              <w:rPr/>
              <w:t> </w:t>
            </w:r>
            <w:bookmarkStart w:id="271" w:name="xdx_40E_eus-gaap--ResearchAndDevelopment"/>
            <w:bookmarkEnd w:id="271"/>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Drug manufacturing and formulation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2,695,896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4,351,542</w:t>
            </w:r>
          </w:p>
        </w:tc>
        <w:tc>
          <w:tcPr>
            <w:tcW w:w="110" w:type="dxa"/>
            <w:tcBorders/>
            <w:shd w:fill="CCEEFF" w:val="clear"/>
            <w:vAlign w:val="center"/>
          </w:tcPr>
          <w:p>
            <w:pPr>
              <w:pStyle w:val="TableContents"/>
              <w:bidi w:val="0"/>
              <w:spacing w:before="0" w:after="283"/>
              <w:ind w:left="0" w:right="0" w:hanging="0"/>
              <w:jc w:val="left"/>
              <w:rPr/>
            </w:pPr>
            <w:r>
              <w:rPr/>
              <w:t> </w:t>
            </w:r>
            <w:bookmarkStart w:id="272" w:name="xdx_403_eus-gaap--ResearchAndDevelopment"/>
            <w:bookmarkEnd w:id="272"/>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1,761,558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2,438,108</w:t>
            </w:r>
          </w:p>
        </w:tc>
        <w:tc>
          <w:tcPr>
            <w:tcW w:w="110" w:type="dxa"/>
            <w:tcBorders/>
            <w:shd w:fill="FFFFFF" w:val="clear"/>
            <w:vAlign w:val="center"/>
          </w:tcPr>
          <w:p>
            <w:pPr>
              <w:pStyle w:val="TableContents"/>
              <w:bidi w:val="0"/>
              <w:spacing w:before="0" w:after="283"/>
              <w:ind w:left="0" w:right="0" w:hanging="0"/>
              <w:jc w:val="left"/>
              <w:rPr/>
            </w:pPr>
            <w:r>
              <w:rPr/>
              <w:t> </w:t>
            </w:r>
            <w:bookmarkStart w:id="273" w:name="xdx_407_eus-gaap--ResearchAndDevelopment"/>
            <w:bookmarkEnd w:id="273"/>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358,895</w:t>
            </w:r>
          </w:p>
        </w:tc>
        <w:tc>
          <w:tcPr>
            <w:tcW w:w="110" w:type="dxa"/>
            <w:tcBorders/>
            <w:shd w:fill="CCEEFF" w:val="clear"/>
            <w:vAlign w:val="center"/>
          </w:tcPr>
          <w:p>
            <w:pPr>
              <w:pStyle w:val="TableContents"/>
              <w:bidi w:val="0"/>
              <w:spacing w:before="0" w:after="283"/>
              <w:ind w:left="0" w:right="0" w:hanging="0"/>
              <w:jc w:val="left"/>
              <w:rPr/>
            </w:pPr>
            <w:r>
              <w:rPr/>
              <w:t> </w:t>
            </w:r>
            <w:bookmarkStart w:id="274" w:name="xdx_403_eus-gaap--ResearchAndDevelopment"/>
            <w:bookmarkEnd w:id="274"/>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9,445,265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15,493,304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275" w:name="xdx_40E_eus-gaap--GeneralAndAdministrati"/>
            <w:bookmarkEnd w:id="275"/>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2,643,726</w:t>
            </w:r>
          </w:p>
        </w:tc>
        <w:tc>
          <w:tcPr>
            <w:tcW w:w="110" w:type="dxa"/>
            <w:tcBorders/>
            <w:shd w:fill="FFFFFF" w:val="clear"/>
            <w:vAlign w:val="center"/>
          </w:tcPr>
          <w:p>
            <w:pPr>
              <w:pStyle w:val="TableContents"/>
              <w:bidi w:val="0"/>
              <w:spacing w:before="0" w:after="283"/>
              <w:ind w:left="0" w:right="0" w:hanging="0"/>
              <w:jc w:val="left"/>
              <w:rPr/>
            </w:pPr>
            <w:r>
              <w:rPr/>
              <w:t> </w:t>
            </w:r>
            <w:bookmarkStart w:id="276" w:name="xdx_40C_eus-gaap--GeneralAndAdministrati"/>
            <w:bookmarkEnd w:id="276"/>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and 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2,396,063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1,942,624</w:t>
            </w:r>
          </w:p>
        </w:tc>
        <w:tc>
          <w:tcPr>
            <w:tcW w:w="110" w:type="dxa"/>
            <w:tcBorders/>
            <w:shd w:fill="CCEEFF" w:val="clear"/>
            <w:vAlign w:val="center"/>
          </w:tcPr>
          <w:p>
            <w:pPr>
              <w:pStyle w:val="TableContents"/>
              <w:bidi w:val="0"/>
              <w:spacing w:before="0" w:after="283"/>
              <w:ind w:left="0" w:right="0" w:hanging="0"/>
              <w:jc w:val="left"/>
              <w:rPr/>
            </w:pPr>
            <w:r>
              <w:rPr/>
              <w:t> </w:t>
            </w:r>
            <w:bookmarkStart w:id="277" w:name="xdx_40C_eus-gaap--GeneralAndAdministrati"/>
            <w:bookmarkEnd w:id="277"/>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Occupancy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495,732</w:t>
            </w:r>
          </w:p>
        </w:tc>
        <w:tc>
          <w:tcPr>
            <w:tcW w:w="110" w:type="dxa"/>
            <w:tcBorders/>
            <w:shd w:fill="FFFFFF" w:val="clear"/>
            <w:vAlign w:val="center"/>
          </w:tcPr>
          <w:p>
            <w:pPr>
              <w:pStyle w:val="TableContents"/>
              <w:bidi w:val="0"/>
              <w:spacing w:before="0" w:after="283"/>
              <w:ind w:left="0" w:right="0" w:hanging="0"/>
              <w:jc w:val="left"/>
              <w:rPr/>
            </w:pPr>
            <w:r>
              <w:rPr/>
              <w:t> </w:t>
            </w:r>
            <w:bookmarkStart w:id="278" w:name="xdx_408_eus-gaap--GeneralAndAdministrati"/>
            <w:bookmarkEnd w:id="278"/>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1,543,060</w:t>
            </w:r>
          </w:p>
        </w:tc>
        <w:tc>
          <w:tcPr>
            <w:tcW w:w="110" w:type="dxa"/>
            <w:tcBorders/>
            <w:shd w:fill="CCEEFF" w:val="clear"/>
            <w:vAlign w:val="center"/>
          </w:tcPr>
          <w:p>
            <w:pPr>
              <w:pStyle w:val="TableContents"/>
              <w:bidi w:val="0"/>
              <w:spacing w:before="0" w:after="283"/>
              <w:ind w:left="0" w:right="0" w:hanging="0"/>
              <w:jc w:val="left"/>
              <w:rPr/>
            </w:pPr>
            <w:r>
              <w:rPr/>
              <w:t> </w:t>
            </w:r>
            <w:bookmarkStart w:id="279" w:name="xdx_40C_eus-gaap--GeneralAndAdministrati"/>
            <w:bookmarkEnd w:id="279"/>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611,996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640,743</w:t>
            </w:r>
          </w:p>
        </w:tc>
        <w:tc>
          <w:tcPr>
            <w:tcW w:w="110" w:type="dxa"/>
            <w:tcBorders/>
            <w:shd w:fill="FFFFFF" w:val="clear"/>
            <w:vAlign w:val="center"/>
          </w:tcPr>
          <w:p>
            <w:pPr>
              <w:pStyle w:val="TableContents"/>
              <w:bidi w:val="0"/>
              <w:spacing w:before="0" w:after="283"/>
              <w:ind w:left="0" w:right="0" w:hanging="0"/>
              <w:jc w:val="left"/>
              <w:rPr/>
            </w:pPr>
            <w:r>
              <w:rPr/>
              <w:t> </w:t>
            </w:r>
            <w:bookmarkStart w:id="280" w:name="xdx_407_eus-gaap--GeneralAndAdministrati"/>
            <w:bookmarkEnd w:id="280"/>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6,199,708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7,265,885</w:t>
            </w:r>
          </w:p>
        </w:tc>
        <w:tc>
          <w:tcPr>
            <w:tcW w:w="110" w:type="dxa"/>
            <w:tcBorders/>
            <w:shd w:fill="CCEEFF" w:val="clear"/>
            <w:vAlign w:val="center"/>
          </w:tcPr>
          <w:p>
            <w:pPr>
              <w:pStyle w:val="TableContents"/>
              <w:bidi w:val="0"/>
              <w:spacing w:before="0" w:after="283"/>
              <w:ind w:left="0" w:right="0" w:hanging="0"/>
              <w:jc w:val="left"/>
              <w:rPr/>
            </w:pPr>
            <w:r>
              <w:rPr/>
              <w:t> </w:t>
            </w:r>
            <w:bookmarkStart w:id="281" w:name="xdx_405_eus-gaap--OperatingIncomeLoss_i0"/>
            <w:bookmarkEnd w:id="281"/>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(15,644,973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(22,759,189</w:t>
            </w:r>
          </w:p>
        </w:tc>
        <w:tc>
          <w:tcPr>
            <w:tcW w:w="110" w:type="dxa"/>
            <w:tcBorders/>
            <w:shd w:fill="FFFFFF" w:val="clear"/>
            <w:vAlign w:val="center"/>
          </w:tcPr>
          <w:p>
            <w:pPr>
              <w:pStyle w:val="TableContents"/>
              <w:bidi w:val="0"/>
              <w:spacing w:before="0" w:after="283"/>
              <w:ind w:left="0" w:right="0" w:hanging="0"/>
              <w:jc w:val="left"/>
              <w:rPr/>
            </w:pPr>
            <w:r>
              <w:rPr/>
              <w:t>)</w:t>
            </w:r>
            <w:bookmarkStart w:id="282" w:name="xdx_404_eus-gaap--NonoperatingIncomeExpe"/>
            <w:bookmarkEnd w:id="282"/>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(775,758</w:t>
            </w:r>
          </w:p>
        </w:tc>
        <w:tc>
          <w:tcPr>
            <w:tcW w:w="110" w:type="dxa"/>
            <w:tcBorders/>
            <w:shd w:fill="CCEEFF" w:val="clear"/>
            <w:vAlign w:val="center"/>
          </w:tcPr>
          <w:p>
            <w:pPr>
              <w:pStyle w:val="TableContents"/>
              <w:bidi w:val="0"/>
              <w:spacing w:before="0" w:after="283"/>
              <w:ind w:left="0" w:right="0" w:hanging="0"/>
              <w:jc w:val="left"/>
              <w:rPr/>
            </w:pPr>
            <w:r>
              <w:rPr/>
              <w:t>)</w:t>
            </w:r>
            <w:bookmarkStart w:id="283" w:name="xdx_40B_eus-gaap--IncomeLossFromContinui"/>
            <w:bookmarkEnd w:id="283"/>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(15,545,737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(23,534,947</w:t>
            </w:r>
          </w:p>
        </w:tc>
        <w:tc>
          <w:tcPr>
            <w:tcW w:w="110" w:type="dxa"/>
            <w:tcBorders/>
            <w:shd w:fill="FFFFFF" w:val="clear"/>
            <w:vAlign w:val="center"/>
          </w:tcPr>
          <w:p>
            <w:pPr>
              <w:pStyle w:val="TableContents"/>
              <w:bidi w:val="0"/>
              <w:spacing w:before="0" w:after="283"/>
              <w:ind w:left="0" w:right="0" w:hanging="0"/>
              <w:jc w:val="left"/>
              <w:rPr/>
            </w:pPr>
            <w:r>
              <w:rPr/>
              <w:t>)</w:t>
            </w:r>
            <w:bookmarkStart w:id="284" w:name="xdx_408_eus-gaap--IncomeTaxExpenseBenefi"/>
            <w:bookmarkEnd w:id="284"/>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285" w:name="xdx_405_eus-gaap--NetIncomeLoss_iT_mtNIL"/>
            <w:bookmarkEnd w:id="285"/>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(15,545,737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(23,534,947</w:t>
            </w:r>
          </w:p>
        </w:tc>
        <w:tc>
          <w:tcPr>
            <w:tcW w:w="110" w:type="dxa"/>
            <w:tcBorders/>
            <w:shd w:fill="CCEEFF" w:val="clear"/>
            <w:vAlign w:val="center"/>
          </w:tcPr>
          <w:p>
            <w:pPr>
              <w:pStyle w:val="TableContents"/>
              <w:bidi w:val="0"/>
              <w:spacing w:before="0" w:after="283"/>
              <w:jc w:val="left"/>
              <w:rPr/>
            </w:pPr>
            <w:r>
              <w:rPr/>
              <w:t>)</w:t>
            </w:r>
          </w:p>
        </w:tc>
      </w:tr>
    </w:tbl>
    <w:p>
      <w:pPr>
        <w:pStyle w:val="TextBody"/>
        <w:bidi w:val="0"/>
        <w:ind w:left="720" w:right="0" w:hanging="0"/>
        <w:jc w:val="left"/>
        <w:rPr>
          <w:caps w:val="false"/>
          <w:smallCaps w:val="false"/>
        </w:rPr>
      </w:pPr>
      <w:bookmarkStart w:id="286" w:name="xdx_8A1_zhoER9sP6JNi"/>
      <w:bookmarkEnd w:id="286"/>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87" w:name="xdx_840_eus-gaap--IncomeTaxPolicyTextBlo"/>
      <w:bookmarkEnd w:id="287"/>
      <w:r>
        <w:rPr>
          <w:rFonts w:ascii="Times New Roman;Times;Serif" w:hAnsi="Times New Roman;Times;Serif"/>
          <w:b/>
          <w:i w:val="false"/>
          <w:caps w:val="false"/>
          <w:smallCaps w:val="false"/>
          <w:sz w:val="20"/>
        </w:rPr>
        <w:t xml:space="preserve">(l) </w:t>
      </w:r>
      <w:bookmarkStart w:id="288" w:name="xdx_867_zG29HhPdnowb"/>
      <w:bookmarkEnd w:id="288"/>
      <w:r>
        <w:rPr>
          <w:rFonts w:ascii="Times New Roman;Times;Serif" w:hAnsi="Times New Roman;Times;Serif"/>
          <w:b/>
          <w:i w:val="false"/>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is taxed as a C corporation under the Internal Revenue Code. Cingulate Inc. records deferred income taxes to reflect the impact of temporary differences between the recorded amounts of assets and liabilities for financial reporting purposes and such amounts as measured by tax laws and regulations. As of December 31, 2024, Cingulate Therapeutics LLC (CTx) is a wholly-owned disregarded entity of Cingulate Inc., and all of the activity for CTx, along with its wholly-owned subsidiary Cingulate Works Inc., is included in the calculation of the current and deferred tax assets and liabilities for Cingulate Inc. The Company determined that it was more likely than not that it would not realize its deferred tax assets, based on historical levels of income and future forecasts of taxable income, among other items, therefore a full valuation allowance is recorded.</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identified any uncertain tax positions. There have been no interest or penalties recognized in the consolidated financial statements related to uncertain tax positions. In addition, no tax positions exist for which it is reasonably possible that the total amounts of unrecognized tax benefits will significantly increase or decrease within the next 12 months.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federal and various state jurisdictions. These federal income taxes are immaterial. The Company is no longer subject to U.S. federal income tax examinations by tax authorities for years before 2020.</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89" w:name="xdx_840_ecustom--CommonStockPurchaseWarr"/>
      <w:bookmarkEnd w:id="289"/>
      <w:r>
        <w:rPr>
          <w:rFonts w:ascii="Times New Roman;Times;Serif" w:hAnsi="Times New Roman;Times;Serif"/>
          <w:b/>
          <w:i w:val="false"/>
          <w:caps w:val="false"/>
          <w:smallCaps w:val="false"/>
          <w:sz w:val="20"/>
        </w:rPr>
        <w:t xml:space="preserve">(m) </w:t>
      </w:r>
      <w:bookmarkStart w:id="290" w:name="xdx_863_zAHZoKFgQvga"/>
      <w:bookmarkEnd w:id="290"/>
      <w:r>
        <w:rPr>
          <w:rFonts w:ascii="Times New Roman;Times;Serif" w:hAnsi="Times New Roman;Times;Serif"/>
          <w:b/>
          <w:i w:val="false"/>
          <w:caps w:val="false"/>
          <w:smallCaps w:val="false"/>
          <w:sz w:val="20"/>
        </w:rPr>
        <w:t>Common Stock Purchase Warrants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warrants in connection with its IPO in December 2021, common stock offerings in September 2023 and February 2024, and a warrant inducement in June 2024. These equity instruments were valued at fair value when they were issued. See additional information in Note 11.</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91" w:name="xdx_848_eus-gaap--EarningsPerSharePolicy"/>
      <w:bookmarkEnd w:id="291"/>
      <w:r>
        <w:rPr>
          <w:rFonts w:ascii="Times New Roman;Times;Serif" w:hAnsi="Times New Roman;Times;Serif"/>
          <w:b/>
          <w:i w:val="false"/>
          <w:caps w:val="false"/>
          <w:smallCaps w:val="false"/>
          <w:sz w:val="20"/>
        </w:rPr>
        <w:t xml:space="preserve">(n) </w:t>
      </w:r>
      <w:bookmarkStart w:id="292" w:name="xdx_868_zTK8WMyAmTgg"/>
      <w:bookmarkEnd w:id="292"/>
      <w:r>
        <w:rPr>
          <w:rFonts w:ascii="Times New Roman;Times;Serif" w:hAnsi="Times New Roman;Times;Serif"/>
          <w:b/>
          <w:i w:val="false"/>
          <w:caps w:val="false"/>
          <w:smallCaps w:val="false"/>
          <w:sz w:val="20"/>
        </w:rPr>
        <w:t>Net Loss per Share</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by the weighted average number of common shares outstanding during the period, without consideration to potential dilutive securities. Diluted net loss per common share is computed by dividing the net loss by the sum of the weighted average number of common shares outstanding during the period plus the number of potential dilutive instruments outstanding during the period using the simplified method. Diluted net loss per share is the same as basic net loss per share since the effect of all outstanding potentially dilutive securities is anti-dilutive.</w:t>
      </w:r>
    </w:p>
    <w:p>
      <w:pPr>
        <w:pStyle w:val="TextBody"/>
        <w:bidi w:val="0"/>
        <w:jc w:val="both"/>
        <w:rPr>
          <w:caps w:val="false"/>
          <w:smallCaps w:val="false"/>
        </w:rPr>
      </w:pPr>
      <w:bookmarkStart w:id="293" w:name="xdx_855_zjMcCELfj41"/>
      <w:bookmarkEnd w:id="293"/>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294" w:name="xdx_800_ecustom--PrepaidExpensesAndOther"/>
      <w:bookmarkEnd w:id="294"/>
      <w:r>
        <w:rPr>
          <w:rFonts w:ascii="Times New Roman;Times;Serif" w:hAnsi="Times New Roman;Times;Serif"/>
          <w:b/>
          <w:i w:val="false"/>
          <w:caps w:val="false"/>
          <w:smallCaps w:val="false"/>
          <w:sz w:val="20"/>
        </w:rPr>
        <w:t xml:space="preserve">(3) </w:t>
      </w:r>
      <w:bookmarkStart w:id="295" w:name="xdx_82A_zOFcndelfvef"/>
      <w:bookmarkEnd w:id="295"/>
      <w:r>
        <w:rPr>
          <w:rFonts w:ascii="Times New Roman;Times;Serif" w:hAnsi="Times New Roman;Times;Serif"/>
          <w:b/>
          <w:i w:val="false"/>
          <w:caps w:val="false"/>
          <w:smallCaps w:val="false"/>
          <w:sz w:val="20"/>
        </w:rPr>
        <w:t>Prepaid Expenses and Other Current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96" w:name="xdx_89F_eus-gaap--DeferredCostsCapitaliz"/>
      <w:bookmarkEnd w:id="296"/>
      <w:r>
        <w:rPr>
          <w:rFonts w:ascii="Times New Roman;Times;Serif" w:hAnsi="Times New Roman;Times;Serif"/>
          <w:b w:val="false"/>
          <w:i w:val="false"/>
          <w:caps w:val="false"/>
          <w:smallCaps w:val="false"/>
          <w:sz w:val="20"/>
        </w:rPr>
        <w:t>Prepaid expenses and other current assets consisted of the following at December 31, 2024 and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97" w:name="xdx_8B0_z29wRITzWwE4"/>
      <w:bookmarkEnd w:id="297"/>
      <w:r>
        <w:rPr>
          <w:rFonts w:ascii="Times New Roman;Times;Serif" w:hAnsi="Times New Roman;Times;Serif"/>
          <w:b w:val="false"/>
          <w:i w:val="false"/>
          <w:caps w:val="false"/>
          <w:smallCaps w:val="false"/>
          <w:sz w:val="20"/>
        </w:rPr>
        <w:t>Schedule of Prepaid Expenses and Other Current Assets</w:t>
      </w:r>
    </w:p>
    <w:tbl>
      <w:tblPr>
        <w:tblW w:w="5980" w:type="dxa"/>
        <w:jc w:val="left"/>
        <w:tblInd w:w="0" w:type="dxa"/>
        <w:tblLayout w:type="fixed"/>
        <w:tblCellMar>
          <w:top w:w="0" w:type="dxa"/>
          <w:left w:w="0" w:type="dxa"/>
          <w:bottom w:w="0" w:type="dxa"/>
          <w:right w:w="0" w:type="dxa"/>
        </w:tblCellMar>
      </w:tblPr>
      <w:tblGrid>
        <w:gridCol w:w="3845"/>
        <w:gridCol w:w="60"/>
        <w:gridCol w:w="140"/>
        <w:gridCol w:w="800"/>
        <w:gridCol w:w="60"/>
        <w:gridCol w:w="60"/>
        <w:gridCol w:w="140"/>
        <w:gridCol w:w="800"/>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8" w:name="xdx_49F_20241231_zC42JOyXi2s6"/>
            <w:bookmarkEnd w:id="298"/>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9" w:name="xdx_49B_20231231_zam1bxiPGJ14"/>
            <w:bookmarkEnd w:id="299"/>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bookmarkStart w:id="300" w:name="xdx_40B_ecustom--PrepaidResearchAndDevel"/>
            <w:bookmarkEnd w:id="300"/>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183,452</w:t>
            </w:r>
          </w:p>
        </w:tc>
        <w:tc>
          <w:tcPr>
            <w:tcW w:w="75" w:type="dxa"/>
            <w:tcBorders/>
            <w:shd w:fill="CCEEFF" w:val="clear"/>
            <w:vAlign w:val="center"/>
          </w:tcPr>
          <w:p>
            <w:pPr>
              <w:pStyle w:val="TableContents"/>
              <w:bidi w:val="0"/>
              <w:spacing w:before="0" w:after="283"/>
              <w:jc w:val="left"/>
              <w:rPr/>
            </w:pPr>
            <w:r>
              <w:rPr/>
              <w:t> </w:t>
            </w:r>
            <w:bookmarkStart w:id="301" w:name="xdx_408_eus-gaap--OtherPrepaidExpenseCur"/>
            <w:bookmarkEnd w:id="301"/>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20,698</w:t>
            </w:r>
          </w:p>
        </w:tc>
        <w:tc>
          <w:tcPr>
            <w:tcW w:w="75" w:type="dxa"/>
            <w:tcBorders/>
            <w:shd w:fill="FFFFFF" w:val="clear"/>
            <w:vAlign w:val="center"/>
          </w:tcPr>
          <w:p>
            <w:pPr>
              <w:pStyle w:val="TableContents"/>
              <w:bidi w:val="0"/>
              <w:spacing w:before="0" w:after="283"/>
              <w:jc w:val="left"/>
              <w:rPr/>
            </w:pPr>
            <w:r>
              <w:rPr/>
              <w:t> </w:t>
            </w:r>
            <w:bookmarkStart w:id="302" w:name="xdx_405_ecustom--PrepaidActivePharmaceut"/>
            <w:bookmarkEnd w:id="302"/>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Active pharmaceutical ingredients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97,324</w:t>
            </w:r>
          </w:p>
        </w:tc>
        <w:tc>
          <w:tcPr>
            <w:tcW w:w="75" w:type="dxa"/>
            <w:tcBorders/>
            <w:shd w:fill="CCEEFF" w:val="clear"/>
            <w:vAlign w:val="center"/>
          </w:tcPr>
          <w:p>
            <w:pPr>
              <w:pStyle w:val="TableContents"/>
              <w:bidi w:val="0"/>
              <w:spacing w:before="0" w:after="283"/>
              <w:jc w:val="left"/>
              <w:rPr/>
            </w:pPr>
            <w:r>
              <w:rPr/>
              <w:t> </w:t>
            </w:r>
            <w:bookmarkStart w:id="303" w:name="xdx_401_ecustom--PrepaidDuesAndSubscript"/>
            <w:bookmarkEnd w:id="303"/>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Dues and subscriptions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304" w:name="xdx_405_eus-gaap--DeferredOfferingCosts_"/>
            <w:bookmarkEnd w:id="304"/>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capital raise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178,780</w:t>
            </w:r>
          </w:p>
        </w:tc>
        <w:tc>
          <w:tcPr>
            <w:tcW w:w="75" w:type="dxa"/>
            <w:tcBorders/>
            <w:shd w:fill="CCEEFF" w:val="clear"/>
            <w:vAlign w:val="center"/>
          </w:tcPr>
          <w:p>
            <w:pPr>
              <w:pStyle w:val="TableContents"/>
              <w:bidi w:val="0"/>
              <w:spacing w:before="0" w:after="283"/>
              <w:jc w:val="left"/>
              <w:rPr/>
            </w:pPr>
            <w:r>
              <w:rPr/>
              <w:t> </w:t>
            </w:r>
            <w:bookmarkStart w:id="305" w:name="xdx_406_eus-gaap--PrepaidInsurance_iI_ma"/>
            <w:bookmarkEnd w:id="305"/>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31,302</w:t>
            </w:r>
          </w:p>
        </w:tc>
        <w:tc>
          <w:tcPr>
            <w:tcW w:w="75" w:type="dxa"/>
            <w:tcBorders/>
            <w:shd w:fill="FFFFFF" w:val="clear"/>
            <w:vAlign w:val="center"/>
          </w:tcPr>
          <w:p>
            <w:pPr>
              <w:pStyle w:val="TableContents"/>
              <w:bidi w:val="0"/>
              <w:spacing w:before="0" w:after="283"/>
              <w:jc w:val="left"/>
              <w:rPr/>
            </w:pPr>
            <w:r>
              <w:rPr/>
              <w:t> </w:t>
            </w:r>
            <w:bookmarkStart w:id="306" w:name="xdx_40C_eus-gaap--PrepaidExpenseAndOther"/>
            <w:bookmarkEnd w:id="306"/>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511,556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07" w:name="xdx_8A8_zdZMibgKqDUc"/>
      <w:bookmarkEnd w:id="307"/>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08" w:name="xdx_80A_eus-gaap--PropertyPlantAndEquipm"/>
      <w:bookmarkEnd w:id="308"/>
      <w:r>
        <w:rPr>
          <w:rFonts w:ascii="Times New Roman;Times;Serif" w:hAnsi="Times New Roman;Times;Serif"/>
          <w:b/>
          <w:i w:val="false"/>
          <w:caps w:val="false"/>
          <w:smallCaps w:val="false"/>
          <w:sz w:val="20"/>
        </w:rPr>
        <w:t xml:space="preserve">(4) </w:t>
      </w:r>
      <w:bookmarkStart w:id="309" w:name="xdx_824_zEIp8Dh112mb"/>
      <w:bookmarkEnd w:id="309"/>
      <w:r>
        <w:rPr>
          <w:rFonts w:ascii="Times New Roman;Times;Serif" w:hAnsi="Times New Roman;Times;Serif"/>
          <w:b/>
          <w:i w:val="false"/>
          <w:caps w:val="false"/>
          <w:smallCaps w:val="false"/>
          <w:sz w:val="20"/>
        </w:rPr>
        <w:t>Property and Equipment,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10" w:name="xdx_891_eus-gaap--PropertyPlantAndEquipm"/>
      <w:bookmarkEnd w:id="310"/>
      <w:r>
        <w:rPr>
          <w:rFonts w:ascii="Times New Roman;Times;Serif" w:hAnsi="Times New Roman;Times;Serif"/>
          <w:b w:val="false"/>
          <w:i w:val="false"/>
          <w:caps w:val="false"/>
          <w:smallCaps w:val="false"/>
          <w:sz w:val="20"/>
        </w:rPr>
        <w:t>Property and equipment, net consisted of the following at December 31, 2024 and 2023:</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bookmarkStart w:id="311" w:name="xdx_8BE_zjyiKmz9MlV7"/>
      <w:bookmarkEnd w:id="311"/>
      <w:r>
        <w:rPr>
          <w:rFonts w:ascii="Times New Roman;Times;Serif" w:hAnsi="Times New Roman;Times;Serif"/>
          <w:b w:val="false"/>
          <w:i w:val="false"/>
          <w:caps w:val="false"/>
          <w:smallCaps w:val="false"/>
          <w:sz w:val="20"/>
        </w:rPr>
        <w:t>Schedule of Property and Equipment</w:t>
      </w:r>
    </w:p>
    <w:tbl>
      <w:tblPr>
        <w:tblW w:w="7314" w:type="dxa"/>
        <w:jc w:val="left"/>
        <w:tblInd w:w="0" w:type="dxa"/>
        <w:tblLayout w:type="fixed"/>
        <w:tblCellMar>
          <w:top w:w="0" w:type="dxa"/>
          <w:left w:w="0" w:type="dxa"/>
          <w:bottom w:w="0" w:type="dxa"/>
          <w:right w:w="0" w:type="dxa"/>
        </w:tblCellMar>
      </w:tblPr>
      <w:tblGrid>
        <w:gridCol w:w="3410"/>
        <w:gridCol w:w="60"/>
        <w:gridCol w:w="202"/>
        <w:gridCol w:w="724"/>
        <w:gridCol w:w="203"/>
        <w:gridCol w:w="60"/>
        <w:gridCol w:w="140"/>
        <w:gridCol w:w="1055"/>
        <w:gridCol w:w="95"/>
        <w:gridCol w:w="60"/>
        <w:gridCol w:w="140"/>
        <w:gridCol w:w="1055"/>
        <w:gridCol w:w="11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3"/>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bookmarkStart w:id="312" w:name="xdx_496_20241231_zmk4g2iri1Vg"/>
            <w:bookmarkEnd w:id="312"/>
          </w:p>
        </w:tc>
        <w:tc>
          <w:tcPr>
            <w:tcW w:w="12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3" w:name="xdx_491_20231231_zopabRg7aR1l"/>
            <w:bookmarkEnd w:id="313"/>
          </w:p>
        </w:tc>
        <w:tc>
          <w:tcPr>
            <w:tcW w:w="1305" w:type="dxa"/>
            <w:gridSpan w:val="3"/>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3"/>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12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5" w:type="dxa"/>
            <w:gridSpan w:val="3"/>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12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3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bookmarkStart w:id="314" w:name="xdx_40D_eus-gaap--PropertyPlantAndEquipm"/>
            <w:bookmarkEnd w:id="314"/>
          </w:p>
        </w:tc>
      </w:tr>
      <w:tr>
        <w:trPr/>
        <w:tc>
          <w:tcPr>
            <w:tcW w:w="341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center"/>
              <w:rPr>
                <w:rFonts w:ascii="Times New Roman;Times;Serif" w:hAnsi="Times New Roman;Times;Serif"/>
              </w:rPr>
            </w:pPr>
            <w:bookmarkStart w:id="315" w:name="xdx_904_eus-gaap--PropertyPlantAndEquipm"/>
            <w:bookmarkEnd w:id="315"/>
            <w:r>
              <w:rPr>
                <w:rFonts w:ascii="Times New Roman;Times;Serif" w:hAnsi="Times New Roman;Times;Serif"/>
              </w:rPr>
              <w:t>2-</w:t>
            </w:r>
            <w:bookmarkStart w:id="316" w:name="xdx_90C_eus-gaap--PropertyPlantAndEquipm"/>
            <w:bookmarkEnd w:id="316"/>
            <w:r>
              <w:rPr>
                <w:rFonts w:ascii="Times New Roman;Times;Serif" w:hAnsi="Times New Roman;Times;Serif"/>
              </w:rPr>
              <w:t>7</w:t>
            </w:r>
          </w:p>
        </w:tc>
        <w:tc>
          <w:tcPr>
            <w:tcW w:w="2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4,358,261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4,321,816</w:t>
            </w:r>
          </w:p>
        </w:tc>
        <w:tc>
          <w:tcPr>
            <w:tcW w:w="110" w:type="dxa"/>
            <w:tcBorders/>
            <w:shd w:fill="CCEEFF" w:val="clear"/>
            <w:vAlign w:val="center"/>
          </w:tcPr>
          <w:p>
            <w:pPr>
              <w:pStyle w:val="TableContents"/>
              <w:bidi w:val="0"/>
              <w:spacing w:before="0" w:after="283"/>
              <w:jc w:val="left"/>
              <w:rPr/>
            </w:pPr>
            <w:r>
              <w:rPr/>
              <w:t> </w:t>
            </w:r>
            <w:bookmarkStart w:id="317" w:name="xdx_403_eus-gaap--PropertyPlantAndEquipm"/>
            <w:bookmarkEnd w:id="317"/>
          </w:p>
        </w:tc>
      </w:tr>
      <w:tr>
        <w:trPr/>
        <w:tc>
          <w:tcPr>
            <w:tcW w:w="341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center"/>
              <w:rPr/>
            </w:pPr>
            <w:bookmarkStart w:id="318" w:name="xdx_90F_eus-gaap--PropertyPlantAndEquipm"/>
            <w:bookmarkEnd w:id="318"/>
            <w:r>
              <w:rPr/>
              <w:t>7</w:t>
            </w:r>
          </w:p>
        </w:tc>
        <w:tc>
          <w:tcPr>
            <w:tcW w:w="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145,754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145,754</w:t>
            </w:r>
          </w:p>
        </w:tc>
        <w:tc>
          <w:tcPr>
            <w:tcW w:w="110" w:type="dxa"/>
            <w:tcBorders/>
            <w:shd w:fill="FFFFFF" w:val="clear"/>
            <w:vAlign w:val="center"/>
          </w:tcPr>
          <w:p>
            <w:pPr>
              <w:pStyle w:val="TableContents"/>
              <w:bidi w:val="0"/>
              <w:spacing w:before="0" w:after="283"/>
              <w:jc w:val="left"/>
              <w:rPr/>
            </w:pPr>
            <w:r>
              <w:rPr/>
              <w:t> </w:t>
            </w:r>
            <w:bookmarkStart w:id="319" w:name="xdx_404_eus-gaap--PropertyPlantAndEquipm"/>
            <w:bookmarkEnd w:id="319"/>
          </w:p>
        </w:tc>
      </w:tr>
      <w:tr>
        <w:trPr/>
        <w:tc>
          <w:tcPr>
            <w:tcW w:w="3410"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center"/>
              <w:rPr/>
            </w:pPr>
            <w:bookmarkStart w:id="320" w:name="xdx_906_eus-gaap--PropertyPlantAndEquipm"/>
            <w:bookmarkEnd w:id="320"/>
            <w:r>
              <w:rPr/>
              <w:t>5</w:t>
            </w:r>
          </w:p>
        </w:tc>
        <w:tc>
          <w:tcPr>
            <w:tcW w:w="2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41,898</w:t>
            </w:r>
          </w:p>
        </w:tc>
        <w:tc>
          <w:tcPr>
            <w:tcW w:w="110" w:type="dxa"/>
            <w:tcBorders/>
            <w:shd w:fill="CCEEFF" w:val="clear"/>
            <w:vAlign w:val="center"/>
          </w:tcPr>
          <w:p>
            <w:pPr>
              <w:pStyle w:val="TableContents"/>
              <w:bidi w:val="0"/>
              <w:spacing w:before="0" w:after="283"/>
              <w:jc w:val="left"/>
              <w:rPr/>
            </w:pPr>
            <w:r>
              <w:rPr/>
              <w:t> </w:t>
            </w:r>
            <w:bookmarkStart w:id="321" w:name="xdx_402_eus-gaap--PropertyPlantAndEquipm"/>
            <w:bookmarkEnd w:id="321"/>
          </w:p>
        </w:tc>
      </w:tr>
      <w:tr>
        <w:trPr/>
        <w:tc>
          <w:tcPr>
            <w:tcW w:w="341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center"/>
              <w:rPr/>
            </w:pPr>
            <w:bookmarkStart w:id="322" w:name="xdx_900_eus-gaap--PropertyPlantAndEquipm"/>
            <w:bookmarkEnd w:id="322"/>
            <w:r>
              <w:rPr/>
              <w:t>5</w:t>
            </w:r>
          </w:p>
        </w:tc>
        <w:tc>
          <w:tcPr>
            <w:tcW w:w="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474,462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471,505</w:t>
            </w:r>
          </w:p>
        </w:tc>
        <w:tc>
          <w:tcPr>
            <w:tcW w:w="110" w:type="dxa"/>
            <w:tcBorders/>
            <w:shd w:fill="FFFFFF" w:val="clear"/>
            <w:vAlign w:val="center"/>
          </w:tcPr>
          <w:p>
            <w:pPr>
              <w:pStyle w:val="TableContents"/>
              <w:bidi w:val="0"/>
              <w:spacing w:before="0" w:after="283"/>
              <w:jc w:val="left"/>
              <w:rPr/>
            </w:pPr>
            <w:r>
              <w:rPr/>
              <w:t> </w:t>
            </w:r>
            <w:bookmarkStart w:id="323" w:name="xdx_409_eus-gaap--PropertyPlantAndEquipm"/>
            <w:bookmarkEnd w:id="323"/>
          </w:p>
        </w:tc>
      </w:tr>
      <w:tr>
        <w:trPr/>
        <w:tc>
          <w:tcPr>
            <w:tcW w:w="3410" w:type="dxa"/>
            <w:tcBorders/>
            <w:shd w:fill="CCEEFF" w:val="clear"/>
            <w:vAlign w:val="center"/>
          </w:tcPr>
          <w:p>
            <w:pPr>
              <w:pStyle w:val="TableContents"/>
              <w:bidi w:val="0"/>
              <w:spacing w:before="0" w:after="283"/>
              <w:jc w:val="left"/>
              <w:rPr/>
            </w:pPr>
            <w:r>
              <w:rPr/>
              <w:t>Construction-in-process- equipment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center"/>
              <w:rPr/>
            </w:pPr>
            <w:r>
              <w:rPr/>
              <w:t>-</w:t>
            </w:r>
          </w:p>
        </w:tc>
        <w:tc>
          <w:tcPr>
            <w:tcW w:w="2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375,278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207,976</w:t>
            </w:r>
          </w:p>
        </w:tc>
        <w:tc>
          <w:tcPr>
            <w:tcW w:w="110" w:type="dxa"/>
            <w:tcBorders/>
            <w:shd w:fill="CCEEFF" w:val="clear"/>
            <w:vAlign w:val="center"/>
          </w:tcPr>
          <w:p>
            <w:pPr>
              <w:pStyle w:val="TableContents"/>
              <w:bidi w:val="0"/>
              <w:spacing w:before="0" w:after="283"/>
              <w:jc w:val="left"/>
              <w:rPr/>
            </w:pPr>
            <w:r>
              <w:rPr/>
              <w:t> </w:t>
            </w:r>
            <w:bookmarkStart w:id="324" w:name="xdx_40D_eus-gaap--PropertyPlantAndEquipm"/>
            <w:bookmarkEnd w:id="324"/>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5,400,749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5,188,949</w:t>
            </w:r>
          </w:p>
        </w:tc>
        <w:tc>
          <w:tcPr>
            <w:tcW w:w="110" w:type="dxa"/>
            <w:tcBorders/>
            <w:shd w:fill="FFFFFF" w:val="clear"/>
            <w:vAlign w:val="center"/>
          </w:tcPr>
          <w:p>
            <w:pPr>
              <w:pStyle w:val="TableContents"/>
              <w:bidi w:val="0"/>
              <w:spacing w:before="0" w:after="283"/>
              <w:jc w:val="left"/>
              <w:rPr/>
            </w:pPr>
            <w:r>
              <w:rPr/>
              <w:t> </w:t>
            </w:r>
            <w:bookmarkStart w:id="325" w:name="xdx_407_eus-gaap--AccumulatedDepreciatio"/>
            <w:bookmarkEnd w:id="325"/>
          </w:p>
        </w:tc>
      </w:tr>
      <w:tr>
        <w:trPr/>
        <w:tc>
          <w:tcPr>
            <w:tcW w:w="341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center"/>
              <w:rPr/>
            </w:pPr>
            <w:r>
              <w:rPr/>
              <w:t> </w:t>
            </w:r>
          </w:p>
        </w:tc>
        <w:tc>
          <w:tcPr>
            <w:tcW w:w="2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(3,296,074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(2,642,984</w:t>
            </w:r>
          </w:p>
        </w:tc>
        <w:tc>
          <w:tcPr>
            <w:tcW w:w="110" w:type="dxa"/>
            <w:tcBorders/>
            <w:shd w:fill="CCEEFF" w:val="clear"/>
            <w:vAlign w:val="center"/>
          </w:tcPr>
          <w:p>
            <w:pPr>
              <w:pStyle w:val="TableContents"/>
              <w:bidi w:val="0"/>
              <w:spacing w:before="0" w:after="283"/>
              <w:jc w:val="left"/>
              <w:rPr/>
            </w:pPr>
            <w:r>
              <w:rPr/>
              <w:t>)</w:t>
            </w:r>
            <w:bookmarkStart w:id="326" w:name="xdx_40A_eus-gaap--PropertyPlantAndEquipm"/>
            <w:bookmarkEnd w:id="326"/>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2,104,675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2,545,965</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27" w:name="xdx_8AC_zWdPvguGvld4"/>
      <w:bookmarkEnd w:id="32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w:t>
      </w:r>
      <w:bookmarkStart w:id="328" w:name="xdx_907_eus-gaap--Depreciation_c20240101"/>
      <w:bookmarkEnd w:id="328"/>
      <w:r>
        <w:rPr>
          <w:rFonts w:ascii="Times New Roman;Times;Serif" w:hAnsi="Times New Roman;Times;Serif"/>
          <w:b w:val="false"/>
          <w:i w:val="false"/>
          <w:caps w:val="false"/>
          <w:smallCaps w:val="false"/>
          <w:sz w:val="20"/>
        </w:rPr>
        <w:t>653,090 and $</w:t>
      </w:r>
      <w:bookmarkStart w:id="329" w:name="xdx_903_eus-gaap--Depreciation_c20230101"/>
      <w:bookmarkEnd w:id="329"/>
      <w:r>
        <w:rPr>
          <w:rFonts w:ascii="Times New Roman;Times;Serif" w:hAnsi="Times New Roman;Times;Serif"/>
          <w:b w:val="false"/>
          <w:i w:val="false"/>
          <w:caps w:val="false"/>
          <w:smallCaps w:val="false"/>
          <w:sz w:val="20"/>
        </w:rPr>
        <w:t>582,918 for the years ended December 31, 2024 and 2023, respectively.</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30" w:name="xdx_806_eus-gaap--AccountsPayableAndAccr"/>
      <w:bookmarkEnd w:id="330"/>
      <w:r>
        <w:rPr>
          <w:rFonts w:ascii="Times New Roman;Times;Serif" w:hAnsi="Times New Roman;Times;Serif"/>
          <w:b/>
          <w:i w:val="false"/>
          <w:caps w:val="false"/>
          <w:smallCaps w:val="false"/>
          <w:sz w:val="20"/>
        </w:rPr>
        <w:t xml:space="preserve">(5) </w:t>
      </w:r>
      <w:bookmarkStart w:id="331" w:name="xdx_82A_zIgUaVrSxZMf"/>
      <w:bookmarkEnd w:id="331"/>
      <w:r>
        <w:rPr>
          <w:rFonts w:ascii="Times New Roman;Times;Serif" w:hAnsi="Times New Roman;Times;Serif"/>
          <w:b/>
          <w:i w:val="false"/>
          <w:caps w:val="false"/>
          <w:smallCaps w:val="false"/>
          <w:sz w:val="20"/>
        </w:rPr>
        <w:t>Accrued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32" w:name="xdx_897_eus-gaap--ScheduleOfAccruedLiabi"/>
      <w:bookmarkEnd w:id="332"/>
      <w:r>
        <w:rPr>
          <w:rFonts w:ascii="Times New Roman;Times;Serif" w:hAnsi="Times New Roman;Times;Serif"/>
          <w:b w:val="false"/>
          <w:i w:val="false"/>
          <w:caps w:val="false"/>
          <w:smallCaps w:val="false"/>
          <w:sz w:val="20"/>
        </w:rPr>
        <w:t>Accrued expenses consisted of the following at December 31, 2024 and 2023:</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bookmarkStart w:id="333" w:name="xdx_8B0_z6fObRRUxEK5"/>
      <w:bookmarkEnd w:id="333"/>
      <w:r>
        <w:rPr>
          <w:rFonts w:ascii="Times New Roman;Times;Serif" w:hAnsi="Times New Roman;Times;Serif"/>
          <w:b w:val="false"/>
          <w:i w:val="false"/>
          <w:caps w:val="false"/>
          <w:smallCaps w:val="false"/>
          <w:sz w:val="20"/>
        </w:rPr>
        <w:t>Schedule of Accrued Expenses</w:t>
      </w:r>
    </w:p>
    <w:tbl>
      <w:tblPr>
        <w:tblW w:w="5080" w:type="dxa"/>
        <w:jc w:val="left"/>
        <w:tblInd w:w="0" w:type="dxa"/>
        <w:tblLayout w:type="fixed"/>
        <w:tblCellMar>
          <w:top w:w="0" w:type="dxa"/>
          <w:left w:w="0" w:type="dxa"/>
          <w:bottom w:w="0" w:type="dxa"/>
          <w:right w:w="0" w:type="dxa"/>
        </w:tblCellMar>
      </w:tblPr>
      <w:tblGrid>
        <w:gridCol w:w="2585"/>
        <w:gridCol w:w="60"/>
        <w:gridCol w:w="140"/>
        <w:gridCol w:w="980"/>
        <w:gridCol w:w="60"/>
        <w:gridCol w:w="60"/>
        <w:gridCol w:w="140"/>
        <w:gridCol w:w="98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4" w:name="xdx_494_20241231_zNOVqq171VBf"/>
            <w:bookmarkEnd w:id="334"/>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5" w:name="xdx_49F_20231231_ze1KLBeAmOKd"/>
            <w:bookmarkEnd w:id="335"/>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bookmarkStart w:id="336" w:name="xdx_403_eus-gaap--WorkersCompensationLia"/>
            <w:bookmarkEnd w:id="336"/>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593,022</w:t>
            </w:r>
          </w:p>
        </w:tc>
        <w:tc>
          <w:tcPr>
            <w:tcW w:w="75" w:type="dxa"/>
            <w:tcBorders/>
            <w:shd w:fill="CCEEFF" w:val="clear"/>
            <w:vAlign w:val="center"/>
          </w:tcPr>
          <w:p>
            <w:pPr>
              <w:pStyle w:val="TableContents"/>
              <w:bidi w:val="0"/>
              <w:spacing w:before="0" w:after="283"/>
              <w:jc w:val="left"/>
              <w:rPr/>
            </w:pPr>
            <w:r>
              <w:rPr/>
              <w:t> </w:t>
            </w:r>
            <w:bookmarkStart w:id="337" w:name="xdx_401_ecustom--AccruedResearchAndDevel"/>
            <w:bookmarkEnd w:id="337"/>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155,220</w:t>
            </w:r>
          </w:p>
        </w:tc>
        <w:tc>
          <w:tcPr>
            <w:tcW w:w="75" w:type="dxa"/>
            <w:tcBorders/>
            <w:shd w:fill="FFFFFF" w:val="clear"/>
            <w:vAlign w:val="center"/>
          </w:tcPr>
          <w:p>
            <w:pPr>
              <w:pStyle w:val="TableContents"/>
              <w:bidi w:val="0"/>
              <w:spacing w:before="0" w:after="283"/>
              <w:jc w:val="left"/>
              <w:rPr/>
            </w:pPr>
            <w:r>
              <w:rPr/>
              <w:t> </w:t>
            </w:r>
            <w:bookmarkStart w:id="338" w:name="xdx_407_eus-gaap--SalesAndExciseTaxPayab"/>
            <w:bookmarkEnd w:id="338"/>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franchise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120,570</w:t>
            </w:r>
          </w:p>
        </w:tc>
        <w:tc>
          <w:tcPr>
            <w:tcW w:w="75" w:type="dxa"/>
            <w:tcBorders/>
            <w:shd w:fill="CCEEFF" w:val="clear"/>
            <w:vAlign w:val="center"/>
          </w:tcPr>
          <w:p>
            <w:pPr>
              <w:pStyle w:val="TableContents"/>
              <w:bidi w:val="0"/>
              <w:spacing w:before="0" w:after="283"/>
              <w:jc w:val="left"/>
              <w:rPr/>
            </w:pPr>
            <w:r>
              <w:rPr/>
              <w:t> </w:t>
            </w:r>
            <w:bookmarkStart w:id="339" w:name="xdx_40D_eus-gaap--OtherAccruedLiabilitie"/>
            <w:bookmarkEnd w:id="339"/>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66,897</w:t>
            </w:r>
          </w:p>
        </w:tc>
        <w:tc>
          <w:tcPr>
            <w:tcW w:w="75" w:type="dxa"/>
            <w:tcBorders/>
            <w:shd w:fill="FFFFFF" w:val="clear"/>
            <w:vAlign w:val="center"/>
          </w:tcPr>
          <w:p>
            <w:pPr>
              <w:pStyle w:val="TableContents"/>
              <w:bidi w:val="0"/>
              <w:spacing w:before="0" w:after="283"/>
              <w:jc w:val="left"/>
              <w:rPr/>
            </w:pPr>
            <w:r>
              <w:rPr/>
              <w:t> </w:t>
            </w:r>
            <w:bookmarkStart w:id="340" w:name="xdx_409_eus-gaap--AccruedInsuranceCurren"/>
            <w:bookmarkEnd w:id="340"/>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56,088</w:t>
            </w:r>
          </w:p>
        </w:tc>
        <w:tc>
          <w:tcPr>
            <w:tcW w:w="75" w:type="dxa"/>
            <w:tcBorders/>
            <w:shd w:fill="CCEEFF" w:val="clear"/>
            <w:vAlign w:val="center"/>
          </w:tcPr>
          <w:p>
            <w:pPr>
              <w:pStyle w:val="TableContents"/>
              <w:bidi w:val="0"/>
              <w:spacing w:before="0" w:after="283"/>
              <w:jc w:val="left"/>
              <w:rPr/>
            </w:pPr>
            <w:r>
              <w:rPr/>
              <w:t> </w:t>
            </w:r>
            <w:bookmarkStart w:id="341" w:name="xdx_409_eus-gaap--AccruedUtilitiesCurren"/>
            <w:bookmarkEnd w:id="341"/>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CIP-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155,800</w:t>
            </w:r>
          </w:p>
        </w:tc>
        <w:tc>
          <w:tcPr>
            <w:tcW w:w="75" w:type="dxa"/>
            <w:tcBorders/>
            <w:shd w:fill="FFFFFF" w:val="clear"/>
            <w:vAlign w:val="center"/>
          </w:tcPr>
          <w:p>
            <w:pPr>
              <w:pStyle w:val="TableContents"/>
              <w:bidi w:val="0"/>
              <w:spacing w:before="0" w:after="283"/>
              <w:jc w:val="left"/>
              <w:rPr/>
            </w:pPr>
            <w:r>
              <w:rPr/>
              <w:t> </w:t>
            </w:r>
            <w:bookmarkStart w:id="342" w:name="xdx_409_eus-gaap--InterestPayableCurrent"/>
            <w:bookmarkEnd w:id="342"/>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290,000</w:t>
            </w:r>
          </w:p>
        </w:tc>
        <w:tc>
          <w:tcPr>
            <w:tcW w:w="75" w:type="dxa"/>
            <w:tcBorders/>
            <w:shd w:fill="CCEEFF" w:val="clear"/>
            <w:vAlign w:val="center"/>
          </w:tcPr>
          <w:p>
            <w:pPr>
              <w:pStyle w:val="TableContents"/>
              <w:bidi w:val="0"/>
              <w:spacing w:before="0" w:after="283"/>
              <w:jc w:val="left"/>
              <w:rPr/>
            </w:pPr>
            <w:r>
              <w:rPr/>
              <w:t> </w:t>
            </w:r>
            <w:bookmarkStart w:id="343" w:name="xdx_405_eus-gaap--AccruedProfessionalFee"/>
            <w:bookmarkEnd w:id="343"/>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213,922</w:t>
            </w:r>
          </w:p>
        </w:tc>
        <w:tc>
          <w:tcPr>
            <w:tcW w:w="75" w:type="dxa"/>
            <w:tcBorders/>
            <w:shd w:fill="FFFFFF" w:val="clear"/>
            <w:vAlign w:val="center"/>
          </w:tcPr>
          <w:p>
            <w:pPr>
              <w:pStyle w:val="TableContents"/>
              <w:bidi w:val="0"/>
              <w:spacing w:before="0" w:after="283"/>
              <w:jc w:val="left"/>
              <w:rPr/>
            </w:pPr>
            <w:r>
              <w:rPr/>
              <w:t> </w:t>
            </w:r>
            <w:bookmarkStart w:id="344" w:name="xdx_404_eus-gaap--AccruedLiabilitiesCurr"/>
            <w:bookmarkEnd w:id="344"/>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1,651,519</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45" w:name="xdx_8A9_zLwFwVNNHAl5"/>
      <w:bookmarkEnd w:id="345"/>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46" w:name="xdx_80A_eus-gaap--LossContingencyDisclos"/>
      <w:bookmarkEnd w:id="346"/>
      <w:r>
        <w:rPr>
          <w:rFonts w:ascii="Times New Roman;Times;Serif" w:hAnsi="Times New Roman;Times;Serif"/>
          <w:b/>
          <w:i w:val="false"/>
          <w:caps w:val="false"/>
          <w:smallCaps w:val="false"/>
          <w:sz w:val="20"/>
        </w:rPr>
        <w:t xml:space="preserve">(6) </w:t>
      </w:r>
      <w:bookmarkStart w:id="347" w:name="xdx_82C_zUbU18VNcoGe"/>
      <w:bookmarkEnd w:id="347"/>
      <w:r>
        <w:rPr>
          <w:rFonts w:ascii="Times New Roman;Times;Serif" w:hAnsi="Times New Roman;Times;Serif"/>
          <w:b/>
          <w:i w:val="false"/>
          <w:caps w:val="false"/>
          <w:smallCaps w:val="false"/>
          <w:sz w:val="20"/>
        </w:rPr>
        <w:t>Contingencies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be subject to legal proceedings and claims arising in the ordinary course of business and otherwise. A substantial legal liability against us could have an adverse effect on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legal costs associated with loss contingencies as incurred and establishes reserves when those matters present material loss contingencies that management determines to be both probable and reasonably estimable in accordance with ASC Topic 450, </w:t>
      </w:r>
      <w:r>
        <w:rPr>
          <w:rFonts w:ascii="Times New Roman;Times;Serif" w:hAnsi="Times New Roman;Times;Serif"/>
          <w:b w:val="false"/>
          <w:i/>
          <w:caps w:val="false"/>
          <w:smallCaps w:val="false"/>
          <w:sz w:val="20"/>
        </w:rPr>
        <w:t xml:space="preserve">Contingencies. </w:t>
      </w:r>
      <w:r>
        <w:rPr>
          <w:rFonts w:ascii="Times New Roman;Times;Serif" w:hAnsi="Times New Roman;Times;Serif"/>
          <w:b w:val="false"/>
          <w:i w:val="false"/>
          <w:caps w:val="false"/>
          <w:smallCaps w:val="false"/>
          <w:sz w:val="20"/>
        </w:rPr>
        <w:t>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 These amounts are not reduced by amounts that may be recovered under insurance or claims against third parties, but undiscounted receivables from insurers or other third parties may be accrued separately if recovery is considered probable. Management’s judgment is required related to loss contingencies because the outcomes are difficult to predict, and the ultimate resolution may differ from our current analysis. The Company revises accruals in light of new information. While it is not possible to predict the outcome of loss contingencies with certainty, management is of the opinion that adequate provision for potential losses associated with any such matters has been made in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Company implemented salary reductions for all employees and the Board approved a contingent bonus plan in which the Company will pay to each employee three months after the filing date of the New Drug Application for CTx-1301, an amount equal to the base salary that was not paid to the employee plus 20%. Base salaries were reinstated in September 2024. While this contingent bonus has not yet been deemed probable per the requirements of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thus not recorded in the financial statements, it is reasonably possible that it will become due. The unpaid salary amounts plus 20%, estimated to be $</w:t>
      </w:r>
      <w:bookmarkStart w:id="348" w:name="xdx_905_eus-gaap--SalariesWagesAndOffice"/>
      <w:bookmarkEnd w:id="348"/>
      <w:r>
        <w:rPr>
          <w:rFonts w:ascii="Times New Roman;Times;Serif" w:hAnsi="Times New Roman;Times;Serif"/>
          <w:b w:val="false"/>
          <w:i w:val="false"/>
          <w:caps w:val="false"/>
          <w:smallCaps w:val="false"/>
          <w:sz w:val="20"/>
        </w:rPr>
        <w:t>722,824, may be paid in a combination of cash and equity awards, at the discretion of the Board.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349" w:name="xdx_803_ecustom--RelatedPartyNotePaybleD"/>
      <w:bookmarkEnd w:id="349"/>
      <w:r>
        <w:rPr>
          <w:rFonts w:ascii="Times New Roman;Times;Serif" w:hAnsi="Times New Roman;Times;Serif"/>
          <w:b/>
          <w:i w:val="false"/>
          <w:caps w:val="false"/>
          <w:smallCaps w:val="false"/>
          <w:sz w:val="20"/>
        </w:rPr>
        <w:t xml:space="preserve">(7) </w:t>
      </w:r>
      <w:bookmarkStart w:id="350" w:name="xdx_82A_z4poUJwS71B7"/>
      <w:bookmarkEnd w:id="350"/>
      <w:r>
        <w:rPr>
          <w:rFonts w:ascii="Times New Roman;Times;Serif" w:hAnsi="Times New Roman;Times;Serif"/>
          <w:b/>
          <w:i w:val="false"/>
          <w:caps w:val="false"/>
          <w:smallCaps w:val="false"/>
          <w:sz w:val="20"/>
        </w:rPr>
        <w:t>Related Party Notes Payable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the Company received $</w:t>
      </w:r>
      <w:bookmarkStart w:id="351" w:name="xdx_90C_eus-gaap--ProceedsFromIssuanceOf"/>
      <w:bookmarkEnd w:id="351"/>
      <w:r>
        <w:rPr>
          <w:rFonts w:ascii="Times New Roman;Times;Serif" w:hAnsi="Times New Roman;Times;Serif"/>
          <w:b w:val="false"/>
          <w:i w:val="false"/>
          <w:caps w:val="false"/>
          <w:smallCaps w:val="false"/>
          <w:sz w:val="20"/>
        </w:rPr>
        <w:t xml:space="preserve">5.0 million of debt financing from Werth Family Investment Associates LLC (WFIA). Peter Werth, manager of WFIA, is a member of the Company’s Board of Directors. The promissory note, dated August 9, 2022, was unsecured with interest accruing at </w:t>
      </w:r>
      <w:bookmarkStart w:id="352" w:name="xdx_900_eus-gaap--DebtInstrumentInterest"/>
      <w:bookmarkEnd w:id="352"/>
      <w:r>
        <w:rPr>
          <w:rFonts w:ascii="Times New Roman;Times;Serif" w:hAnsi="Times New Roman;Times;Serif"/>
          <w:b w:val="false"/>
          <w:i w:val="false"/>
          <w:caps w:val="false"/>
          <w:smallCaps w:val="false"/>
          <w:sz w:val="20"/>
        </w:rPr>
        <w:t>15% per annum. In May 2023, the Company received an additional $</w:t>
      </w:r>
      <w:bookmarkStart w:id="353" w:name="xdx_900_eus-gaap--ProceedsFromIssuanceOf"/>
      <w:bookmarkEnd w:id="353"/>
      <w:r>
        <w:rPr>
          <w:rFonts w:ascii="Times New Roman;Times;Serif" w:hAnsi="Times New Roman;Times;Serif"/>
          <w:b w:val="false"/>
          <w:i w:val="false"/>
          <w:caps w:val="false"/>
          <w:smallCaps w:val="false"/>
          <w:sz w:val="20"/>
        </w:rPr>
        <w:t>3.0 million of debt financing from WFIA by amending and restating the note to increase the principal amount to $</w:t>
      </w:r>
      <w:bookmarkStart w:id="354" w:name="xdx_90E_eus-gaap--DebtInstrumentFaceAmou"/>
      <w:bookmarkEnd w:id="354"/>
      <w:r>
        <w:rPr>
          <w:rFonts w:ascii="Times New Roman;Times;Serif" w:hAnsi="Times New Roman;Times;Serif"/>
          <w:b w:val="false"/>
          <w:i w:val="false"/>
          <w:caps w:val="false"/>
          <w:smallCaps w:val="false"/>
          <w:sz w:val="20"/>
        </w:rPr>
        <w:t>8.0 million. All other terms of the note remained the same.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2023, the Company and CTx entered into a note conversion agreement with WFIA, pursuant to which WFIA agreed to convert the original principal amount of $</w:t>
      </w:r>
      <w:bookmarkStart w:id="355" w:name="xdx_903_eus-gaap--DebtInstrumentFaceAmou"/>
      <w:bookmarkEnd w:id="355"/>
      <w:r>
        <w:rPr>
          <w:rFonts w:ascii="Times New Roman;Times;Serif" w:hAnsi="Times New Roman;Times;Serif"/>
          <w:b w:val="false"/>
          <w:i w:val="false"/>
          <w:caps w:val="false"/>
          <w:smallCaps w:val="false"/>
          <w:sz w:val="20"/>
        </w:rPr>
        <w:t>5.0 million under the note plus all accrued interest on the original principal, or $</w:t>
      </w:r>
      <w:bookmarkStart w:id="356" w:name="xdx_90E_eus-gaap--WarrantsAndRightsOutst"/>
      <w:bookmarkEnd w:id="356"/>
      <w:r>
        <w:rPr>
          <w:rFonts w:ascii="Times New Roman;Times;Serif" w:hAnsi="Times New Roman;Times;Serif"/>
          <w:b w:val="false"/>
          <w:i w:val="false"/>
          <w:caps w:val="false"/>
          <w:smallCaps w:val="false"/>
          <w:sz w:val="20"/>
        </w:rPr>
        <w:t xml:space="preserve">5,812,500, by issuing pre-funded warrants to purchase </w:t>
      </w:r>
      <w:bookmarkStart w:id="357" w:name="xdx_903_eus-gaap--ClassOfWarrantOrRightO"/>
      <w:bookmarkEnd w:id="357"/>
      <w:r>
        <w:rPr>
          <w:rFonts w:ascii="Times New Roman;Times;Serif" w:hAnsi="Times New Roman;Times;Serif"/>
          <w:b w:val="false"/>
          <w:i w:val="false"/>
          <w:caps w:val="false"/>
          <w:smallCaps w:val="false"/>
          <w:sz w:val="20"/>
        </w:rPr>
        <w:t>28,493 shares of the Company’s common stock at a conversion price per pre-funded warrant of $</w:t>
      </w:r>
      <w:bookmarkStart w:id="358" w:name="xdx_900_ecustom--ClassOfWarrantOrRightFa"/>
      <w:bookmarkEnd w:id="358"/>
      <w:r>
        <w:rPr>
          <w:rFonts w:ascii="Times New Roman;Times;Serif" w:hAnsi="Times New Roman;Times;Serif"/>
          <w:b w:val="false"/>
          <w:i w:val="false"/>
          <w:caps w:val="false"/>
          <w:smallCaps w:val="false"/>
          <w:sz w:val="20"/>
        </w:rPr>
        <w:t>204.00. The closing price of the Company’s common stock on Nasdaq on September 8, 2023, was $</w:t>
      </w:r>
      <w:bookmarkStart w:id="359" w:name="xdx_90F_eus-gaap--ClassOfWarrantOrRightE"/>
      <w:bookmarkEnd w:id="359"/>
      <w:r>
        <w:rPr>
          <w:rFonts w:ascii="Times New Roman;Times;Serif" w:hAnsi="Times New Roman;Times;Serif"/>
          <w:b w:val="false"/>
          <w:i w:val="false"/>
          <w:caps w:val="false"/>
          <w:smallCaps w:val="false"/>
          <w:sz w:val="20"/>
        </w:rPr>
        <w:t xml:space="preserve">13.56 per share. </w:t>
      </w:r>
      <w:bookmarkStart w:id="360" w:name="xdx_904_eus-gaap--DebtInstrumentDescript"/>
      <w:bookmarkEnd w:id="360"/>
      <w:r>
        <w:rPr>
          <w:rFonts w:ascii="Times New Roman;Times;Serif" w:hAnsi="Times New Roman;Times;Serif"/>
          <w:b w:val="false"/>
          <w:i w:val="false"/>
          <w:caps w:val="false"/>
          <w:smallCaps w:val="false"/>
          <w:sz w:val="20"/>
        </w:rPr>
        <w:t>The pre-funded warrants had no expiration date and were exercisable immediately at an exercise price of $</w:t>
      </w:r>
      <w:bookmarkStart w:id="361" w:name="xdx_90B_ecustom--ClassOfWarrantOrRightEx"/>
      <w:bookmarkEnd w:id="361"/>
      <w:r>
        <w:rPr>
          <w:rFonts w:ascii="Times New Roman;Times;Serif" w:hAnsi="Times New Roman;Times;Serif"/>
          <w:b w:val="false"/>
          <w:i w:val="false"/>
          <w:caps w:val="false"/>
          <w:smallCaps w:val="false"/>
          <w:sz w:val="20"/>
        </w:rPr>
        <w:t>0.024 per share, to the extent that after giving effect to such exercise, WFIA and its affiliates would beneficially own, for purposes of Section 13(d) of the Securities Exchange Act of 1934, as amended (Exchange Act), no more than 19.99% of the outstanding shares of common stock of the Company.</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the Company and CTx entered into another note conversion agreement with WFIA, pursuant to which WFIA agreed to convert the remaining principal amount of the note payable of $</w:t>
      </w:r>
      <w:bookmarkStart w:id="362" w:name="xdx_90A_eus-gaap--DebtInstrumentFaceAmou"/>
      <w:bookmarkEnd w:id="362"/>
      <w:r>
        <w:rPr>
          <w:rFonts w:ascii="Times New Roman;Times;Serif" w:hAnsi="Times New Roman;Times;Serif"/>
          <w:b w:val="false"/>
          <w:i w:val="false"/>
          <w:caps w:val="false"/>
          <w:smallCaps w:val="false"/>
          <w:sz w:val="20"/>
        </w:rPr>
        <w:t>3.0 million plus all accrued interest, or $</w:t>
      </w:r>
      <w:bookmarkStart w:id="363" w:name="xdx_90C_eus-gaap--WarrantsAndRightsOutst"/>
      <w:bookmarkEnd w:id="363"/>
      <w:r>
        <w:rPr>
          <w:rFonts w:ascii="Times New Roman;Times;Serif" w:hAnsi="Times New Roman;Times;Serif"/>
          <w:b w:val="false"/>
          <w:i w:val="false"/>
          <w:caps w:val="false"/>
          <w:smallCaps w:val="false"/>
          <w:sz w:val="20"/>
        </w:rPr>
        <w:t xml:space="preserve">3,287,500, by issuing pre-funded warrants to purchase </w:t>
      </w:r>
      <w:bookmarkStart w:id="364" w:name="xdx_906_eus-gaap--ClassOfWarrantOrRightO"/>
      <w:bookmarkEnd w:id="364"/>
      <w:r>
        <w:rPr>
          <w:rFonts w:ascii="Times New Roman;Times;Serif" w:hAnsi="Times New Roman;Times;Serif"/>
          <w:b w:val="false"/>
          <w:i w:val="false"/>
          <w:caps w:val="false"/>
          <w:smallCaps w:val="false"/>
          <w:sz w:val="20"/>
        </w:rPr>
        <w:t>57,254 shares of the Company’s common stock at a conversion price per pre-funded warrant of $</w:t>
      </w:r>
      <w:bookmarkStart w:id="365" w:name="xdx_909_ecustom--ClassOfWarrantOrRightFa"/>
      <w:bookmarkEnd w:id="365"/>
      <w:r>
        <w:rPr>
          <w:rFonts w:ascii="Times New Roman;Times;Serif" w:hAnsi="Times New Roman;Times;Serif"/>
          <w:b w:val="false"/>
          <w:i w:val="false"/>
          <w:caps w:val="false"/>
          <w:smallCaps w:val="false"/>
          <w:sz w:val="20"/>
        </w:rPr>
        <w:t>57.42. The closing price of the Company’s common stock on Nasdaq on January 24, 2024, was $</w:t>
      </w:r>
      <w:bookmarkStart w:id="366" w:name="xdx_909_eus-gaap--ClassOfWarrantOrRightE"/>
      <w:bookmarkEnd w:id="366"/>
      <w:r>
        <w:rPr>
          <w:rFonts w:ascii="Times New Roman;Times;Serif" w:hAnsi="Times New Roman;Times;Serif"/>
          <w:b w:val="false"/>
          <w:i w:val="false"/>
          <w:caps w:val="false"/>
          <w:smallCaps w:val="false"/>
          <w:sz w:val="20"/>
        </w:rPr>
        <w:t xml:space="preserve">52.20 per share. </w:t>
      </w:r>
      <w:bookmarkStart w:id="367" w:name="xdx_909_eus-gaap--DebtInstrumentDescript"/>
      <w:bookmarkEnd w:id="367"/>
      <w:r>
        <w:rPr>
          <w:rFonts w:ascii="Times New Roman;Times;Serif" w:hAnsi="Times New Roman;Times;Serif"/>
          <w:b w:val="false"/>
          <w:i w:val="false"/>
          <w:caps w:val="false"/>
          <w:smallCaps w:val="false"/>
          <w:sz w:val="20"/>
        </w:rPr>
        <w:t>The pre-funded warrants had no expiration date and were exercisable immediately at an exercise price of $</w:t>
      </w:r>
      <w:bookmarkStart w:id="368" w:name="xdx_909_ecustom--ClassOfWarrantOrRightEx"/>
      <w:bookmarkEnd w:id="368"/>
      <w:r>
        <w:rPr>
          <w:rFonts w:ascii="Times New Roman;Times;Serif" w:hAnsi="Times New Roman;Times;Serif"/>
          <w:b w:val="false"/>
          <w:i w:val="false"/>
          <w:caps w:val="false"/>
          <w:smallCaps w:val="false"/>
          <w:sz w:val="20"/>
        </w:rPr>
        <w:t>0.0012 per share, to the extent that after giving effect to such exercise, WFIA and its affiliates would beneficially own, for purposes of Section 13(d) of the Exchange Act, no more than 19.99% of the outstanding shares of common stock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WFIA exercised all of its pre-funded warrants in April 2024, as described in Note 10.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considered ASC 470-60, </w:t>
      </w:r>
      <w:r>
        <w:rPr>
          <w:rFonts w:ascii="Times New Roman;Times;Serif" w:hAnsi="Times New Roman;Times;Serif"/>
          <w:b w:val="false"/>
          <w:i/>
          <w:caps w:val="false"/>
          <w:smallCaps w:val="false"/>
          <w:sz w:val="20"/>
        </w:rPr>
        <w:t>Troubled Debt Restructurings by Debtors</w:t>
      </w:r>
      <w:r>
        <w:rPr>
          <w:rFonts w:ascii="Times New Roman;Times;Serif" w:hAnsi="Times New Roman;Times;Serif"/>
          <w:b w:val="false"/>
          <w:i w:val="false"/>
          <w:caps w:val="false"/>
          <w:smallCaps w:val="false"/>
          <w:sz w:val="20"/>
        </w:rPr>
        <w:t>, in accounting for the debt conversions. Due to the related party nature of the transactions, the difference between the fair value of the pre-funded warrants issued and the carrying value of the debt settled in the transactions were recognized as capital contributions in the Statement of Stockholders’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69" w:name="xdx_803_eus-gaap--DebtDisclosureTextBloc"/>
      <w:bookmarkEnd w:id="369"/>
      <w:r>
        <w:rPr>
          <w:rFonts w:ascii="Times New Roman;Times;Serif" w:hAnsi="Times New Roman;Times;Serif"/>
          <w:b/>
          <w:i w:val="false"/>
          <w:caps w:val="false"/>
          <w:smallCaps w:val="false"/>
          <w:sz w:val="20"/>
        </w:rPr>
        <w:t xml:space="preserve">(8) </w:t>
      </w:r>
      <w:bookmarkStart w:id="370" w:name="xdx_824_zaxXfjqaFR44"/>
      <w:bookmarkEnd w:id="370"/>
      <w:r>
        <w:rPr>
          <w:rFonts w:ascii="Times New Roman;Times;Serif" w:hAnsi="Times New Roman;Times;Serif"/>
          <w:b/>
          <w:i w:val="false"/>
          <w:caps w:val="false"/>
          <w:smallCaps w:val="false"/>
          <w:sz w:val="20"/>
        </w:rPr>
        <w:t>Unsecured Promissory 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the Company entered into a note purchase agreement with Streeterville Capital, LLC, a Utah limited liability company (Lender), pursuant to which the Company issued and sold to Lender an unsecured promissory note (Promissory Note) in the amount of $</w:t>
      </w:r>
      <w:bookmarkStart w:id="371" w:name="xdx_903_eus-gaap--UnsecuredLongTermDebt_"/>
      <w:bookmarkEnd w:id="371"/>
      <w:r>
        <w:rPr>
          <w:rFonts w:ascii="Times New Roman;Times;Serif" w:hAnsi="Times New Roman;Times;Serif"/>
          <w:b w:val="false"/>
          <w:i w:val="false"/>
          <w:caps w:val="false"/>
          <w:smallCaps w:val="false"/>
          <w:sz w:val="20"/>
        </w:rPr>
        <w:t>5,480,000. The Promissory Note included an original issue discount of $</w:t>
      </w:r>
      <w:bookmarkStart w:id="372" w:name="xdx_903_ecustom--DebtInstrumentOriginalD"/>
      <w:bookmarkEnd w:id="372"/>
      <w:r>
        <w:rPr>
          <w:rFonts w:ascii="Times New Roman;Times;Serif" w:hAnsi="Times New Roman;Times;Serif"/>
          <w:b w:val="false"/>
          <w:i w:val="false"/>
          <w:caps w:val="false"/>
          <w:smallCaps w:val="false"/>
          <w:sz w:val="20"/>
        </w:rPr>
        <w:t>450,000 and Lender expenses payable by the Company of $</w:t>
      </w:r>
      <w:bookmarkStart w:id="373" w:name="xdx_904_ecustom--LenderExpensesOnIssueOf"/>
      <w:bookmarkEnd w:id="373"/>
      <w:r>
        <w:rPr>
          <w:rFonts w:ascii="Times New Roman;Times;Serif" w:hAnsi="Times New Roman;Times;Serif"/>
          <w:b w:val="false"/>
          <w:i w:val="false"/>
          <w:caps w:val="false"/>
          <w:smallCaps w:val="false"/>
          <w:sz w:val="20"/>
        </w:rPr>
        <w:t>30,000. In exchange for the Promissory Note, the Lender paid a purchase price of $</w:t>
      </w:r>
      <w:bookmarkStart w:id="374" w:name="xdx_901_eus-gaap--DebtInstrumentFaceAmou"/>
      <w:bookmarkEnd w:id="374"/>
      <w:r>
        <w:rPr>
          <w:rFonts w:ascii="Times New Roman;Times;Serif" w:hAnsi="Times New Roman;Times;Serif"/>
          <w:b w:val="false"/>
          <w:i w:val="false"/>
          <w:caps w:val="false"/>
          <w:smallCaps w:val="false"/>
          <w:sz w:val="20"/>
        </w:rPr>
        <w:t xml:space="preserve">5,000,000 in cash. The Promissory Note bears interest at a rate of </w:t>
      </w:r>
      <w:bookmarkStart w:id="375" w:name="xdx_908_eus-gaap--DebtInstrumentInterest"/>
      <w:bookmarkEnd w:id="375"/>
      <w:r>
        <w:rPr>
          <w:rFonts w:ascii="Times New Roman;Times;Serif" w:hAnsi="Times New Roman;Times;Serif"/>
          <w:b w:val="false"/>
          <w:i w:val="false"/>
          <w:caps w:val="false"/>
          <w:smallCaps w:val="false"/>
          <w:sz w:val="20"/>
        </w:rPr>
        <w:t>9% per annum and matures 18 months after its issuance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beginning on July 2, 2025, Lender may redeem a portion of the Promissory Note, not to exceed an amount of $</w:t>
      </w:r>
      <w:bookmarkStart w:id="376" w:name="xdx_905_eus-gaap--DebtInstrumentPeriodic"/>
      <w:bookmarkEnd w:id="376"/>
      <w:r>
        <w:rPr>
          <w:rFonts w:ascii="Times New Roman;Times;Serif" w:hAnsi="Times New Roman;Times;Serif"/>
          <w:b w:val="false"/>
          <w:i w:val="false"/>
          <w:caps w:val="false"/>
          <w:smallCaps w:val="false"/>
          <w:sz w:val="20"/>
        </w:rPr>
        <w:t xml:space="preserve">550,000 per month. </w:t>
      </w:r>
      <w:bookmarkStart w:id="377" w:name="xdx_90D_eus-gaap--DefaultLongtermDebtDes"/>
      <w:bookmarkEnd w:id="377"/>
      <w:r>
        <w:rPr>
          <w:rFonts w:ascii="Times New Roman;Times;Serif" w:hAnsi="Times New Roman;Times;Serif"/>
          <w:b w:val="false"/>
          <w:i w:val="false"/>
          <w:caps w:val="false"/>
          <w:smallCaps w:val="false"/>
          <w:sz w:val="20"/>
        </w:rPr>
        <w:t>In the event the Promissory Note is outstanding on the 90-day anniversary of the effective date of the Promissory Note, the Company will be charged and record a monitoring fee equal to the outstanding principal balance on such date divided by 0.85 less the outstanding balance on such date. The monitoring fee and interest accrued on the monitoring fee will be forgiven, on a pro rata basis, each time the Company makes a cash payment on the Promissory Note. Subject to the terms and conditions set forth in the Promissory Note, the Company may prepay all or any portion of the outstanding balance of the Promissory Note at any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Promissory Note provides for customary events of default (each, an Event of Default), including, among other things, the event of nonpayment of principal, interest, fees or other amounts, a representation or warranty proving to have been incorrect when made, failure to perform or observe covenants within a specified cure period, a cross-default to certain other indebtedness and material agreements of the Company, and the occurrence of a bankruptcy, insolvency or similar event affecting the Company. </w:t>
      </w:r>
      <w:bookmarkStart w:id="378" w:name="xdx_90A_ecustom--DefaultLongtermDebtDesc"/>
      <w:bookmarkEnd w:id="378"/>
      <w:r>
        <w:rPr>
          <w:rFonts w:ascii="Times New Roman;Times;Serif" w:hAnsi="Times New Roman;Times;Serif"/>
          <w:b w:val="false"/>
          <w:i w:val="false"/>
          <w:caps w:val="false"/>
          <w:smallCaps w:val="false"/>
          <w:sz w:val="20"/>
        </w:rPr>
        <w:t>Upon the occurrence of an Event of Default that is deemed a “Major Trigger Event” as defined in the Promissory Note, Lender may increase the outstanding balance of the Promissory Note by 15%, and upon the occurrence of an Event of Default that is deemed a “Minor Trigger Event” as defined in the Promissory Note, Lender may increase the outstanding balance of the Promissory Note by 5%. Lender can exercise its right to increase the outstanding balance upon a Major or Minor Trigger Event three times each. Upon the occurrence of an Event of Default, Lender may declare all amounts owed under the Promissory Note immediately due and payable. In addition, upon the occurrence of an Event of Default, upon the election of Lender, interest shall begin accruing on the outstanding balance of the Promissory Note from the date of the Event of Default equal to the lesser of 22% per annum and the maximum rate allowable under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Promissory Note, the Company incurred $</w:t>
      </w:r>
      <w:bookmarkStart w:id="379" w:name="xdx_90D_eus-gaap--PaymentsOfDebtIssuance"/>
      <w:bookmarkEnd w:id="379"/>
      <w:r>
        <w:rPr>
          <w:rFonts w:ascii="Times New Roman;Times;Serif" w:hAnsi="Times New Roman;Times;Serif"/>
          <w:b w:val="false"/>
          <w:i w:val="false"/>
          <w:caps w:val="false"/>
          <w:smallCaps w:val="false"/>
          <w:sz w:val="20"/>
        </w:rPr>
        <w:t>46,277 of debt issuance costs. The debt issuance costs, the debt discount of $</w:t>
      </w:r>
      <w:bookmarkStart w:id="380" w:name="xdx_903_ecustom--DebtInstrumentOriginalD"/>
      <w:bookmarkEnd w:id="380"/>
      <w:r>
        <w:rPr>
          <w:rFonts w:ascii="Times New Roman;Times;Serif" w:hAnsi="Times New Roman;Times;Serif"/>
          <w:b w:val="false"/>
          <w:i w:val="false"/>
          <w:caps w:val="false"/>
          <w:smallCaps w:val="false"/>
          <w:sz w:val="20"/>
        </w:rPr>
        <w:t>450,000 and the expenses payable by the Company of $</w:t>
      </w:r>
      <w:bookmarkStart w:id="381" w:name="xdx_904_ecustom--LenderExpensesOnIssueOf"/>
      <w:bookmarkEnd w:id="381"/>
      <w:r>
        <w:rPr>
          <w:rFonts w:ascii="Times New Roman;Times;Serif" w:hAnsi="Times New Roman;Times;Serif"/>
          <w:b w:val="false"/>
          <w:i w:val="false"/>
          <w:caps w:val="false"/>
          <w:smallCaps w:val="false"/>
          <w:sz w:val="20"/>
        </w:rPr>
        <w:t>30,000 have been recorded as a reduction in the carrying amount of the Promissory Note and are being amortized over the term of the Promissory Note using the effective interest rate method. As of December 31, 2024, the collective amount of unamortized debt discount and debt issuance costs were $</w:t>
      </w:r>
      <w:bookmarkStart w:id="382" w:name="xdx_908_eus-gaap--DebtInstrumentUnamorti"/>
      <w:bookmarkEnd w:id="382"/>
      <w:r>
        <w:rPr>
          <w:rFonts w:ascii="Times New Roman;Times;Serif" w:hAnsi="Times New Roman;Times;Serif"/>
          <w:b w:val="false"/>
          <w:i w:val="false"/>
          <w:caps w:val="false"/>
          <w:smallCaps w:val="false"/>
          <w:sz w:val="20"/>
        </w:rPr>
        <w:t>516,012,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outstanding principal balance of the Promissory Note plus accrued interest was $</w:t>
      </w:r>
      <w:bookmarkStart w:id="383" w:name="xdx_907_ecustom--LongtermDebtOutstanding"/>
      <w:bookmarkEnd w:id="383"/>
      <w:r>
        <w:rPr>
          <w:rFonts w:ascii="Times New Roman;Times;Serif" w:hAnsi="Times New Roman;Times;Serif"/>
          <w:b w:val="false"/>
          <w:i w:val="false"/>
          <w:caps w:val="false"/>
          <w:smallCaps w:val="false"/>
          <w:sz w:val="20"/>
        </w:rPr>
        <w:t>5,495,089.</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384" w:name="xdx_896_eus-gaap--InterestIncomeAndInter"/>
      <w:bookmarkEnd w:id="384"/>
      <w:r>
        <w:rPr>
          <w:rFonts w:ascii="Times New Roman;Times;Serif" w:hAnsi="Times New Roman;Times;Serif"/>
          <w:b w:val="false"/>
          <w:i w:val="false"/>
          <w:caps w:val="false"/>
          <w:smallCaps w:val="false"/>
          <w:sz w:val="20"/>
        </w:rPr>
        <w:t>The following table provides a breakdown of interest expense (income) for the periods presented: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bookmarkStart w:id="385" w:name="xdx_8B6_zO0qaNYXGZ5"/>
      <w:bookmarkEnd w:id="385"/>
      <w:r>
        <w:rPr>
          <w:rFonts w:ascii="Times New Roman;Times;Serif" w:hAnsi="Times New Roman;Times;Serif"/>
          <w:b w:val="false"/>
          <w:i w:val="false"/>
          <w:caps w:val="false"/>
          <w:smallCaps w:val="false"/>
          <w:sz w:val="20"/>
        </w:rPr>
        <w:t xml:space="preserve">Schedule of Interest Expense (Income) </w:t>
      </w:r>
    </w:p>
    <w:tbl>
      <w:tblPr>
        <w:tblW w:w="5885" w:type="dxa"/>
        <w:jc w:val="left"/>
        <w:tblInd w:w="0" w:type="dxa"/>
        <w:tblLayout w:type="fixed"/>
        <w:tblCellMar>
          <w:top w:w="0" w:type="dxa"/>
          <w:left w:w="0" w:type="dxa"/>
          <w:bottom w:w="0" w:type="dxa"/>
          <w:right w:w="0" w:type="dxa"/>
        </w:tblCellMar>
      </w:tblPr>
      <w:tblGrid>
        <w:gridCol w:w="3605"/>
        <w:gridCol w:w="60"/>
        <w:gridCol w:w="140"/>
        <w:gridCol w:w="875"/>
        <w:gridCol w:w="95"/>
        <w:gridCol w:w="60"/>
        <w:gridCol w:w="140"/>
        <w:gridCol w:w="800"/>
        <w:gridCol w:w="110"/>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6" w:name="xdx_491_20240101__20241231_zME9qCyDQkq8"/>
            <w:bookmarkEnd w:id="386"/>
          </w:p>
        </w:tc>
        <w:tc>
          <w:tcPr>
            <w:tcW w:w="11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bookmarkStart w:id="387" w:name="xdx_495_20230101__20231231_zO3IieHDTEmg"/>
            <w:bookmarkEnd w:id="387"/>
          </w:p>
        </w:tc>
        <w:tc>
          <w:tcPr>
            <w:tcW w:w="105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bookmarkStart w:id="388" w:name="xdx_402_eus-gaap--OtherNonoperatingExpen"/>
            <w:bookmarkEnd w:id="388"/>
          </w:p>
        </w:tc>
      </w:tr>
      <w:tr>
        <w:trPr/>
        <w:tc>
          <w:tcPr>
            <w:tcW w:w="3605" w:type="dxa"/>
            <w:tcBorders/>
            <w:shd w:fill="CCEEFF" w:val="clear"/>
            <w:vAlign w:val="center"/>
          </w:tcPr>
          <w:p>
            <w:pPr>
              <w:pStyle w:val="TableContents"/>
              <w:bidi w:val="0"/>
              <w:spacing w:before="0" w:after="283"/>
              <w:jc w:val="left"/>
              <w:rPr/>
            </w:pPr>
            <w:r>
              <w:rPr/>
              <w:t>Interest expense - WFIA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810,162</w:t>
            </w:r>
          </w:p>
        </w:tc>
        <w:tc>
          <w:tcPr>
            <w:tcW w:w="110" w:type="dxa"/>
            <w:tcBorders/>
            <w:shd w:fill="CCEEFF" w:val="clear"/>
            <w:vAlign w:val="center"/>
          </w:tcPr>
          <w:p>
            <w:pPr>
              <w:pStyle w:val="TableContents"/>
              <w:bidi w:val="0"/>
              <w:spacing w:before="0" w:after="283"/>
              <w:jc w:val="left"/>
              <w:rPr/>
            </w:pPr>
            <w:r>
              <w:rPr/>
              <w:t> </w:t>
            </w:r>
            <w:bookmarkStart w:id="389" w:name="xdx_408_eus-gaap--OtherNonoperatingExpen"/>
            <w:bookmarkEnd w:id="389"/>
          </w:p>
        </w:tc>
      </w:tr>
      <w:tr>
        <w:trPr/>
        <w:tc>
          <w:tcPr>
            <w:tcW w:w="3605" w:type="dxa"/>
            <w:tcBorders/>
            <w:shd w:fill="FFFFFF" w:val="clear"/>
            <w:vAlign w:val="center"/>
          </w:tcPr>
          <w:p>
            <w:pPr>
              <w:pStyle w:val="TableContents"/>
              <w:bidi w:val="0"/>
              <w:spacing w:before="0" w:after="283"/>
              <w:jc w:val="left"/>
              <w:rPr/>
            </w:pPr>
            <w:r>
              <w:rPr/>
              <w:t>Interest expense - Streeterville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0" w:name="xdx_401_eus-gaap--OtherNonoperatingExpen"/>
            <w:bookmarkEnd w:id="390"/>
          </w:p>
        </w:tc>
      </w:tr>
      <w:tr>
        <w:trPr/>
        <w:tc>
          <w:tcPr>
            <w:tcW w:w="3605" w:type="dxa"/>
            <w:tcBorders/>
            <w:shd w:fill="CCEEFF" w:val="clear"/>
            <w:vAlign w:val="center"/>
          </w:tcPr>
          <w:p>
            <w:pPr>
              <w:pStyle w:val="TableContents"/>
              <w:bidi w:val="0"/>
              <w:spacing w:before="0" w:after="283"/>
              <w:jc w:val="left"/>
              <w:rPr/>
            </w:pPr>
            <w:r>
              <w:rPr/>
              <w:t>Interest expense - 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19,421</w:t>
            </w:r>
          </w:p>
        </w:tc>
        <w:tc>
          <w:tcPr>
            <w:tcW w:w="110" w:type="dxa"/>
            <w:tcBorders/>
            <w:shd w:fill="CCEEFF" w:val="clear"/>
            <w:vAlign w:val="center"/>
          </w:tcPr>
          <w:p>
            <w:pPr>
              <w:pStyle w:val="TableContents"/>
              <w:bidi w:val="0"/>
              <w:spacing w:before="0" w:after="283"/>
              <w:jc w:val="left"/>
              <w:rPr/>
            </w:pPr>
            <w:r>
              <w:rPr/>
              <w:t> </w:t>
            </w:r>
            <w:bookmarkStart w:id="391" w:name="xdx_40A_eus-gaap--OtherNonoperatingIncom"/>
            <w:bookmarkEnd w:id="391"/>
          </w:p>
        </w:tc>
      </w:tr>
      <w:tr>
        <w:trPr/>
        <w:tc>
          <w:tcPr>
            <w:tcW w:w="360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(162,099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(53,825</w:t>
            </w:r>
          </w:p>
        </w:tc>
        <w:tc>
          <w:tcPr>
            <w:tcW w:w="110" w:type="dxa"/>
            <w:tcBorders/>
            <w:shd w:fill="FFFFFF" w:val="clear"/>
            <w:vAlign w:val="center"/>
          </w:tcPr>
          <w:p>
            <w:pPr>
              <w:pStyle w:val="TableContents"/>
              <w:bidi w:val="0"/>
              <w:spacing w:before="0" w:after="283"/>
              <w:jc w:val="left"/>
              <w:rPr/>
            </w:pPr>
            <w:r>
              <w:rPr/>
              <w:t>)</w:t>
            </w:r>
            <w:bookmarkStart w:id="392" w:name="xdx_40C_eus-gaap--NonoperatingIncomeExpe"/>
            <w:bookmarkEnd w:id="392"/>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(99,236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775,758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93" w:name="xdx_8AC_zg86TWEJ8yL7"/>
      <w:bookmarkEnd w:id="393"/>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94" w:name="xdx_807_eus-gaap--StockholdersEquityNote"/>
      <w:bookmarkEnd w:id="394"/>
      <w:r>
        <w:rPr>
          <w:rFonts w:ascii="Times New Roman;Times;Serif" w:hAnsi="Times New Roman;Times;Serif"/>
          <w:b/>
          <w:i w:val="false"/>
          <w:caps w:val="false"/>
          <w:smallCaps w:val="false"/>
          <w:sz w:val="20"/>
        </w:rPr>
        <w:t xml:space="preserve">(9) </w:t>
      </w:r>
      <w:bookmarkStart w:id="395" w:name="xdx_827_zwdl9vfuluce"/>
      <w:bookmarkEnd w:id="395"/>
      <w:r>
        <w:rPr>
          <w:rFonts w:ascii="Times New Roman;Times;Serif" w:hAnsi="Times New Roman;Times;Serif"/>
          <w:b/>
          <w:i w:val="false"/>
          <w:caps w:val="false"/>
          <w:smallCaps w:val="false"/>
          <w:sz w:val="20"/>
        </w:rPr>
        <w:t>Stockholders’ Equity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w:t>
      </w:r>
      <w:bookmarkStart w:id="396" w:name="xdx_903_eus-gaap--CommonStockSharesAutho"/>
      <w:bookmarkStart w:id="397" w:name="xdx_904_eus-gaap--CommonStockSharesAutho"/>
      <w:bookmarkEnd w:id="396"/>
      <w:bookmarkEnd w:id="397"/>
      <w:r>
        <w:rPr>
          <w:rFonts w:ascii="Times New Roman;Times;Serif" w:hAnsi="Times New Roman;Times;Serif"/>
          <w:b w:val="false"/>
          <w:i w:val="false"/>
          <w:caps w:val="false"/>
          <w:smallCaps w:val="false"/>
          <w:sz w:val="20"/>
        </w:rPr>
        <w:t>240,000,000 shares of $</w:t>
      </w:r>
      <w:bookmarkStart w:id="398" w:name="xdx_90E_eus-gaap--CommonStockParOrStated"/>
      <w:bookmarkStart w:id="399" w:name="xdx_90F_eus-gaap--CommonStockParOrStated"/>
      <w:bookmarkEnd w:id="398"/>
      <w:bookmarkEnd w:id="399"/>
      <w:r>
        <w:rPr>
          <w:rFonts w:ascii="Times New Roman;Times;Serif" w:hAnsi="Times New Roman;Times;Serif"/>
          <w:b w:val="false"/>
          <w:i w:val="false"/>
          <w:caps w:val="false"/>
          <w:smallCaps w:val="false"/>
          <w:sz w:val="20"/>
        </w:rPr>
        <w:t xml:space="preserve">0.0001 par value common stock and </w:t>
      </w:r>
      <w:bookmarkStart w:id="400" w:name="xdx_902_eus-gaap--PreferredStockSharesAu"/>
      <w:bookmarkStart w:id="401" w:name="xdx_907_eus-gaap--PreferredStockSharesAu"/>
      <w:bookmarkEnd w:id="400"/>
      <w:bookmarkEnd w:id="401"/>
      <w:r>
        <w:rPr>
          <w:rFonts w:ascii="Times New Roman;Times;Serif" w:hAnsi="Times New Roman;Times;Serif"/>
          <w:b w:val="false"/>
          <w:i w:val="false"/>
          <w:caps w:val="false"/>
          <w:smallCaps w:val="false"/>
          <w:sz w:val="20"/>
        </w:rPr>
        <w:t>10,000,000 shares of $</w:t>
      </w:r>
      <w:bookmarkStart w:id="402" w:name="xdx_909_eus-gaap--PreferredStockParOrSta"/>
      <w:bookmarkStart w:id="403" w:name="xdx_90B_eus-gaap--PreferredStockParOrSta"/>
      <w:bookmarkEnd w:id="402"/>
      <w:bookmarkEnd w:id="403"/>
      <w:r>
        <w:rPr>
          <w:rFonts w:ascii="Times New Roman;Times;Serif" w:hAnsi="Times New Roman;Times;Serif"/>
          <w:b w:val="false"/>
          <w:i w:val="false"/>
          <w:caps w:val="false"/>
          <w:smallCaps w:val="false"/>
          <w:sz w:val="20"/>
        </w:rPr>
        <w:t xml:space="preserve">0.0001 par value preferred stock at December 31, 2024 and 2023 of which </w:t>
      </w:r>
      <w:bookmarkStart w:id="404" w:name="xdx_900_eus-gaap--CommonStockSharesOutst"/>
      <w:bookmarkStart w:id="405" w:name="xdx_90E_eus-gaap--CommonStockSharesIssue"/>
      <w:bookmarkEnd w:id="404"/>
      <w:bookmarkEnd w:id="405"/>
      <w:r>
        <w:rPr>
          <w:rFonts w:ascii="Times New Roman;Times;Serif" w:hAnsi="Times New Roman;Times;Serif"/>
          <w:b w:val="false"/>
          <w:i w:val="false"/>
          <w:caps w:val="false"/>
          <w:smallCaps w:val="false"/>
          <w:sz w:val="20"/>
        </w:rPr>
        <w:t xml:space="preserve">3,402,306 and </w:t>
      </w:r>
      <w:bookmarkStart w:id="406" w:name="xdx_901_eus-gaap--CommonStockSharesOutst"/>
      <w:bookmarkStart w:id="407" w:name="xdx_902_eus-gaap--CommonStockSharesIssue"/>
      <w:bookmarkEnd w:id="406"/>
      <w:bookmarkEnd w:id="407"/>
      <w:r>
        <w:rPr>
          <w:rFonts w:ascii="Times New Roman;Times;Serif" w:hAnsi="Times New Roman;Times;Serif"/>
          <w:b w:val="false"/>
          <w:i w:val="false"/>
          <w:caps w:val="false"/>
          <w:smallCaps w:val="false"/>
          <w:sz w:val="20"/>
        </w:rPr>
        <w:t>97,293 shares of common stock were issued and outstanding, respectively. The Company has not issued any shares of preferred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are entitled to one vote for each share of common stock. In the event of any voluntary or involuntary liquidation, dissolution or winding up of the Company, after the payment or provision for payment of all debts and liabilities of the Company, the holders of common stock shall be entitled to share in the remaining assets of the Company available for distribution, if any. Holders of the shares of common stock are entitled to dividends when, as and if declared by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30, 2023, the Company completed a </w:t>
      </w:r>
      <w:bookmarkStart w:id="408" w:name="xdx_90D_eus-gaap--StockholdersEquityReve"/>
      <w:bookmarkEnd w:id="408"/>
      <w:r>
        <w:rPr>
          <w:rFonts w:ascii="Times New Roman;Times;Serif" w:hAnsi="Times New Roman;Times;Serif"/>
          <w:b w:val="false"/>
          <w:i w:val="false"/>
          <w:caps w:val="false"/>
          <w:smallCaps w:val="false"/>
          <w:sz w:val="20"/>
        </w:rPr>
        <w:t>one-for-twenty reverse stock split (2023 Reverse Stock Split), which reduced the number of shares of the Company’s common stock that were issued and outstanding immediately prior to the effectiveness of the 2023 Reverse Stock Split. The number of shares of the Company’s authorized common stock was not affected by the 2023 Reverse Stock Split and the par value of the Company’s common stock remained unchanged at $</w:t>
      </w:r>
      <w:bookmarkStart w:id="409" w:name="xdx_903_eus-gaap--CommonStockParOrStated"/>
      <w:bookmarkEnd w:id="409"/>
      <w:r>
        <w:rPr>
          <w:rFonts w:ascii="Times New Roman;Times;Serif" w:hAnsi="Times New Roman;Times;Serif"/>
          <w:b w:val="false"/>
          <w:i w:val="false"/>
          <w:caps w:val="false"/>
          <w:smallCaps w:val="false"/>
          <w:sz w:val="20"/>
        </w:rPr>
        <w:t>0.0001 per share. No fractional shares were issued in connection with the 2023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9, 2024, the Company completed a </w:t>
      </w:r>
      <w:bookmarkStart w:id="410" w:name="xdx_90D_eus-gaap--StockholdersEquityReve"/>
      <w:bookmarkEnd w:id="410"/>
      <w:r>
        <w:rPr>
          <w:rFonts w:ascii="Times New Roman;Times;Serif" w:hAnsi="Times New Roman;Times;Serif"/>
          <w:b w:val="false"/>
          <w:i w:val="false"/>
          <w:caps w:val="false"/>
          <w:smallCaps w:val="false"/>
          <w:sz w:val="20"/>
        </w:rPr>
        <w:t>one-for-twelve reverse stock split (2024 Reverse Stock Split), which reduced the number of shares of the Company’s common stock that were issued and outstanding immediately prior to the effectiveness of the 2024 Reverse Stock Split. The number of shares of the Company’s authorized common stock was not affected by the 2024 Reverse Stock Split and the par value of the Company’s common stock remained unchanged at $</w:t>
      </w:r>
      <w:bookmarkStart w:id="411" w:name="xdx_90E_eus-gaap--CommonStockParOrStated"/>
      <w:bookmarkEnd w:id="411"/>
      <w:r>
        <w:rPr>
          <w:rFonts w:ascii="Times New Roman;Times;Serif" w:hAnsi="Times New Roman;Times;Serif"/>
          <w:b w:val="false"/>
          <w:i w:val="false"/>
          <w:caps w:val="false"/>
          <w:smallCaps w:val="false"/>
          <w:sz w:val="20"/>
        </w:rPr>
        <w:t>0.0001 per share. No fractional shares were issued in connection with the 2024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disclosed, all amounts related to number of shares and per share amounts have been retrospectively restated in these financial statements to reflect the 2023 Reverse Stock Split and the 2024 Reverse 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12" w:name="xdx_802_ecustom--SaleOfCommonStockTextBl"/>
      <w:bookmarkEnd w:id="412"/>
      <w:r>
        <w:rPr>
          <w:rFonts w:ascii="Times New Roman;Times;Serif" w:hAnsi="Times New Roman;Times;Serif"/>
          <w:b/>
          <w:i w:val="false"/>
          <w:caps w:val="false"/>
          <w:smallCaps w:val="false"/>
          <w:sz w:val="20"/>
        </w:rPr>
        <w:t xml:space="preserve">(10) </w:t>
      </w:r>
      <w:bookmarkStart w:id="413" w:name="xdx_822_zYYChVJ52Fk6"/>
      <w:bookmarkEnd w:id="413"/>
      <w:r>
        <w:rPr>
          <w:rFonts w:ascii="Times New Roman;Times;Serif" w:hAnsi="Times New Roman;Times;Serif"/>
          <w:b/>
          <w:i w:val="false"/>
          <w:caps w:val="false"/>
          <w:smallCaps w:val="false"/>
          <w:sz w:val="20"/>
        </w:rPr>
        <w:t>Securities Issuances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11, 2023, the Company entered into a securities purchase agreement with WFIA and issued, in a private placement priced at the market under Nasdaq rules, </w:t>
      </w:r>
      <w:bookmarkStart w:id="414" w:name="xdx_90A_eus-gaap--StockIssuedDuringPerio"/>
      <w:bookmarkEnd w:id="414"/>
      <w:r>
        <w:rPr>
          <w:rFonts w:ascii="Times New Roman;Times;Serif" w:hAnsi="Times New Roman;Times;Serif"/>
          <w:b w:val="false"/>
          <w:i w:val="false"/>
          <w:caps w:val="false"/>
          <w:smallCaps w:val="false"/>
          <w:sz w:val="20"/>
        </w:rPr>
        <w:t>7,597 shares of its common stock at a purchase price per share of $</w:t>
      </w:r>
      <w:bookmarkStart w:id="415" w:name="xdx_90F_eus-gaap--SharePrice_iI_c2023081"/>
      <w:bookmarkEnd w:id="415"/>
      <w:r>
        <w:rPr>
          <w:rFonts w:ascii="Times New Roman;Times;Serif" w:hAnsi="Times New Roman;Times;Serif"/>
          <w:b w:val="false"/>
          <w:i w:val="false"/>
          <w:caps w:val="false"/>
          <w:smallCaps w:val="false"/>
          <w:sz w:val="20"/>
        </w:rPr>
        <w:t>131.64, resulting in gross proceeds to the Company of approximately $</w:t>
      </w:r>
      <w:bookmarkStart w:id="416" w:name="xdx_90B_eus-gaap--ProceedsFromIssuanceOf"/>
      <w:bookmarkEnd w:id="416"/>
      <w:r>
        <w:rPr>
          <w:rFonts w:ascii="Times New Roman;Times;Serif" w:hAnsi="Times New Roman;Times;Serif"/>
          <w:b w:val="false"/>
          <w:i w:val="false"/>
          <w:caps w:val="false"/>
          <w:smallCaps w:val="false"/>
          <w:sz w:val="20"/>
        </w:rPr>
        <w:t>1.0 million. Peter Werth, a member of the Company’s Board of Directors, is the manager of WFIA.</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Public Offerings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11, 2023, the Company entered into a securities purchase agreement with an institutional investor (September 2023 Offering) pursuant to which the Company issued </w:t>
      </w:r>
      <w:bookmarkStart w:id="417" w:name="xdx_90B_eus-gaap--ClassOfWarrantOrRightO"/>
      <w:bookmarkEnd w:id="417"/>
      <w:r>
        <w:rPr>
          <w:rFonts w:ascii="Times New Roman;Times;Serif" w:hAnsi="Times New Roman;Times;Serif"/>
          <w:b w:val="false"/>
          <w:i w:val="false"/>
          <w:caps w:val="false"/>
          <w:smallCaps w:val="false"/>
          <w:sz w:val="20"/>
        </w:rPr>
        <w:t>7,167 shares of its common stock at a combined price of $</w:t>
      </w:r>
      <w:bookmarkStart w:id="418" w:name="xdx_905_ecustom--ClassOfWarrantOrRightFa"/>
      <w:bookmarkEnd w:id="418"/>
      <w:r>
        <w:rPr>
          <w:rFonts w:ascii="Times New Roman;Times;Serif" w:hAnsi="Times New Roman;Times;Serif"/>
          <w:b w:val="false"/>
          <w:i w:val="false"/>
          <w:caps w:val="false"/>
          <w:smallCaps w:val="false"/>
          <w:sz w:val="20"/>
        </w:rPr>
        <w:t xml:space="preserve">138.62 per share and accompanying Series A and Series B warrants, and pre-funded warrants to purchase up to an aggregate of </w:t>
      </w:r>
      <w:bookmarkStart w:id="419" w:name="xdx_909_eus-gaap--ClassOfWarrantOrRightO"/>
      <w:bookmarkEnd w:id="419"/>
      <w:r>
        <w:rPr>
          <w:rFonts w:ascii="Times New Roman;Times;Serif" w:hAnsi="Times New Roman;Times;Serif"/>
          <w:b w:val="false"/>
          <w:i w:val="false"/>
          <w:caps w:val="false"/>
          <w:smallCaps w:val="false"/>
          <w:sz w:val="20"/>
        </w:rPr>
        <w:t>21,688 shares of its common stock at a combined purchase price of $</w:t>
      </w:r>
      <w:bookmarkStart w:id="420" w:name="xdx_90E_ecustom--ClassOfWarrantOrRightFa"/>
      <w:bookmarkEnd w:id="420"/>
      <w:r>
        <w:rPr>
          <w:rFonts w:ascii="Times New Roman;Times;Serif" w:hAnsi="Times New Roman;Times;Serif"/>
          <w:b w:val="false"/>
          <w:i w:val="false"/>
          <w:caps w:val="false"/>
          <w:smallCaps w:val="false"/>
          <w:sz w:val="20"/>
        </w:rPr>
        <w:t>138.62 per pre-funded warrant and accompanying Series A and Series B warrants, which represents the public offering price for the common stock less the $</w:t>
      </w:r>
      <w:bookmarkStart w:id="421" w:name="xdx_903_eus-gaap--ClassOfWarrantOrRightE"/>
      <w:bookmarkEnd w:id="421"/>
      <w:r>
        <w:rPr>
          <w:rFonts w:ascii="Times New Roman;Times;Serif" w:hAnsi="Times New Roman;Times;Serif"/>
          <w:b w:val="false"/>
          <w:i w:val="false"/>
          <w:caps w:val="false"/>
          <w:smallCaps w:val="false"/>
          <w:sz w:val="20"/>
        </w:rPr>
        <w:t xml:space="preserve">0.024 per share exercise price per share for each pre-funded warrant. </w:t>
      </w:r>
      <w:bookmarkStart w:id="422" w:name="xdx_90D_eus-gaap--DebtInstrumentDescript"/>
      <w:bookmarkEnd w:id="422"/>
      <w:r>
        <w:rPr>
          <w:rFonts w:ascii="Times New Roman;Times;Serif" w:hAnsi="Times New Roman;Times;Serif"/>
          <w:b w:val="false"/>
          <w:i w:val="false"/>
          <w:caps w:val="false"/>
          <w:smallCaps w:val="false"/>
          <w:sz w:val="20"/>
        </w:rPr>
        <w:t>The September 2023 Offering closed on September 13, 2023. The pre-funded warrants were exercisable at any time after the date of issuance and had no expiration date. The holders of pre-funded warrants could not exercise the warrants if the holder, together with its affiliates, would beneficially own more than 4.99% (or, at the election of the holder, 9.99%) of the number of shares of common stock outstanding immediately after giving effect to such exercise. The September 2023 Offering resulted in gross proceeds to the Company of $</w:t>
      </w:r>
      <w:bookmarkStart w:id="423" w:name="xdx_909_ecustom--GrossProceeds_c20230911"/>
      <w:bookmarkEnd w:id="423"/>
      <w:r>
        <w:rPr>
          <w:rFonts w:ascii="Times New Roman;Times;Serif" w:hAnsi="Times New Roman;Times;Serif"/>
          <w:b w:val="false"/>
          <w:i w:val="false"/>
          <w:caps w:val="false"/>
          <w:smallCaps w:val="false"/>
          <w:sz w:val="20"/>
        </w:rPr>
        <w:t>3,999,480 before deducting $</w:t>
      </w:r>
      <w:bookmarkStart w:id="424" w:name="xdx_909_eus-gaap--PaymentsForFees_c20230"/>
      <w:bookmarkEnd w:id="424"/>
      <w:r>
        <w:rPr>
          <w:rFonts w:ascii="Times New Roman;Times;Serif" w:hAnsi="Times New Roman;Times;Serif"/>
          <w:b w:val="false"/>
          <w:i w:val="false"/>
          <w:caps w:val="false"/>
          <w:smallCaps w:val="false"/>
          <w:sz w:val="20"/>
        </w:rPr>
        <w:t>688,929 of placement agent fees and other offering expenses. See Note 11 for a description of Series A and Series B warrants issued in the September 2023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 2024, the Company completed a public offering (February 2024 Offering) pursuant to which the Company issued </w:t>
      </w:r>
      <w:bookmarkStart w:id="425" w:name="xdx_90E_eus-gaap--ClassOfWarrantOrRightN"/>
      <w:bookmarkEnd w:id="425"/>
      <w:r>
        <w:rPr>
          <w:rFonts w:ascii="Times New Roman;Times;Serif" w:hAnsi="Times New Roman;Times;Serif"/>
          <w:b w:val="false"/>
          <w:i w:val="false"/>
          <w:caps w:val="false"/>
          <w:smallCaps w:val="false"/>
          <w:sz w:val="20"/>
        </w:rPr>
        <w:t>114,583 shares of its common stock and accompanying Series A and Series B warrants at a combined price of $</w:t>
      </w:r>
      <w:bookmarkStart w:id="426" w:name="xdx_902_eus-gaap--SharePrice_iI_pid_c202"/>
      <w:bookmarkEnd w:id="426"/>
      <w:r>
        <w:rPr>
          <w:rFonts w:ascii="Times New Roman;Times;Serif" w:hAnsi="Times New Roman;Times;Serif"/>
          <w:b w:val="false"/>
          <w:i w:val="false"/>
          <w:caps w:val="false"/>
          <w:smallCaps w:val="false"/>
          <w:sz w:val="20"/>
        </w:rPr>
        <w:t xml:space="preserve">24.00 per share, and pre-funded warrants to purchase up to an aggregate of </w:t>
      </w:r>
      <w:bookmarkStart w:id="427" w:name="xdx_90E_eus-gaap--ClassOfWarrantOrRightO"/>
      <w:bookmarkEnd w:id="427"/>
      <w:r>
        <w:rPr>
          <w:rFonts w:ascii="Times New Roman;Times;Serif" w:hAnsi="Times New Roman;Times;Serif"/>
          <w:b w:val="false"/>
          <w:i w:val="false"/>
          <w:caps w:val="false"/>
          <w:smallCaps w:val="false"/>
          <w:sz w:val="20"/>
        </w:rPr>
        <w:t>197,917 shares of its common stock and accompanying Series A and Series B warrants at a combined purchase price of $</w:t>
      </w:r>
      <w:bookmarkStart w:id="428" w:name="xdx_909_eus-gaap--SharePrice_iI_pid_c202"/>
      <w:bookmarkEnd w:id="428"/>
      <w:r>
        <w:rPr>
          <w:rFonts w:ascii="Times New Roman;Times;Serif" w:hAnsi="Times New Roman;Times;Serif"/>
          <w:b w:val="false"/>
          <w:i w:val="false"/>
          <w:caps w:val="false"/>
          <w:smallCaps w:val="false"/>
          <w:sz w:val="20"/>
        </w:rPr>
        <w:t>23.988 per pre-funded warrant, which represents the public offering price for the common stock less the $</w:t>
      </w:r>
      <w:bookmarkStart w:id="429" w:name="xdx_908_eus-gaap--ClassOfWarrantOrRightE"/>
      <w:bookmarkEnd w:id="429"/>
      <w:r>
        <w:rPr>
          <w:rFonts w:ascii="Times New Roman;Times;Serif" w:hAnsi="Times New Roman;Times;Serif"/>
          <w:b w:val="false"/>
          <w:i w:val="false"/>
          <w:caps w:val="false"/>
          <w:smallCaps w:val="false"/>
          <w:sz w:val="20"/>
        </w:rPr>
        <w:t xml:space="preserve">0.0012 per share exercise price per share for each pre-funded warrant. The pre-funded warrants were exercisable at any time after the date of issuance and had no expiration date. </w:t>
      </w:r>
      <w:bookmarkStart w:id="430" w:name="xdx_901_eus-gaap--DebtInstrumentDescript"/>
      <w:bookmarkEnd w:id="430"/>
      <w:r>
        <w:rPr>
          <w:rFonts w:ascii="Times New Roman;Times;Serif" w:hAnsi="Times New Roman;Times;Serif"/>
          <w:b w:val="false"/>
          <w:i w:val="false"/>
          <w:caps w:val="false"/>
          <w:smallCaps w:val="false"/>
          <w:sz w:val="20"/>
        </w:rPr>
        <w:t>The holders of pre-funded warrants could not exercise the warrants if the holder, together with its affiliates, would beneficially own more than 4.99% (or, at the election of the holder, 9.99%) of the number of shares of common stock outstanding immediately after giving effect to such exercise. Each share of common stock and each pre-funded warrant were sold along with one Series A and 0.5 Series B warrants. The February 2024 Offering resulted in gross proceeds to the Company of $</w:t>
      </w:r>
      <w:bookmarkStart w:id="431" w:name="xdx_90D_eus-gaap--ProceedsFromIssuanceIn"/>
      <w:bookmarkEnd w:id="431"/>
      <w:r>
        <w:rPr>
          <w:rFonts w:ascii="Times New Roman;Times;Serif" w:hAnsi="Times New Roman;Times;Serif"/>
          <w:b w:val="false"/>
          <w:i w:val="false"/>
          <w:caps w:val="false"/>
          <w:smallCaps w:val="false"/>
          <w:sz w:val="20"/>
        </w:rPr>
        <w:t>7.5 million before deducting $</w:t>
      </w:r>
      <w:bookmarkStart w:id="432" w:name="xdx_901_eus-gaap--PaymentsForFees_c20240"/>
      <w:bookmarkEnd w:id="432"/>
      <w:r>
        <w:rPr>
          <w:rFonts w:ascii="Times New Roman;Times;Serif" w:hAnsi="Times New Roman;Times;Serif"/>
          <w:b w:val="false"/>
          <w:i w:val="false"/>
          <w:caps w:val="false"/>
          <w:smallCaps w:val="false"/>
          <w:sz w:val="20"/>
        </w:rPr>
        <w:t>750,950 of placement agent fees and other offering expenses. As of December 31, 2024, all of the pre-funded warrants issued in the February 2024 Offering had been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of Related Party 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2023, the Company issued to WFIA pre-funded warrants to purchase </w:t>
      </w:r>
      <w:bookmarkStart w:id="433" w:name="xdx_906_eus-gaap--ClassOfWarrantOrRightO"/>
      <w:bookmarkEnd w:id="433"/>
      <w:r>
        <w:rPr>
          <w:rFonts w:ascii="Times New Roman;Times;Serif" w:hAnsi="Times New Roman;Times;Serif"/>
          <w:b w:val="false"/>
          <w:i w:val="false"/>
          <w:caps w:val="false"/>
          <w:smallCaps w:val="false"/>
          <w:sz w:val="20"/>
        </w:rPr>
        <w:t>28,493 shares of the Company’s common stock as part of a note conversion agreement, as described in Note 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25, 2024, the Company issued to WFIA pre-funded warrants to purchase </w:t>
      </w:r>
      <w:bookmarkStart w:id="434" w:name="xdx_903_eus-gaap--ClassOfWarrantOrRightO"/>
      <w:bookmarkEnd w:id="434"/>
      <w:r>
        <w:rPr>
          <w:rFonts w:ascii="Times New Roman;Times;Serif" w:hAnsi="Times New Roman;Times;Serif"/>
          <w:b w:val="false"/>
          <w:i w:val="false"/>
          <w:caps w:val="false"/>
          <w:smallCaps w:val="false"/>
          <w:sz w:val="20"/>
        </w:rPr>
        <w:t xml:space="preserve">57,254 shares of the Company’s common stock as part of a note conversion agreement, as described in Note 7. In March 2024, the Company issued to WFIA additional pre-funded warrants to purchase </w:t>
      </w:r>
      <w:bookmarkStart w:id="435" w:name="xdx_90D_eus-gaap--ClassOfWarrantOrRightO"/>
      <w:bookmarkEnd w:id="435"/>
      <w:r>
        <w:rPr>
          <w:rFonts w:ascii="Times New Roman;Times;Serif" w:hAnsi="Times New Roman;Times;Serif"/>
          <w:b w:val="false"/>
          <w:i w:val="false"/>
          <w:caps w:val="false"/>
          <w:smallCaps w:val="false"/>
          <w:sz w:val="20"/>
        </w:rPr>
        <w:t>588 shares of the Company’s common stock as a result of an error in the interest calculation, on the same form and at the same conversion price as the pre-funded warrants issued in January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WFIA exercised all of its pre-funded warrants, as described in Note 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 Inducement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an inducement offer letter agreement (June 2024 Warrant Inducement), in which certain holders (Holders) of certain of its existing warrants to purchase </w:t>
      </w:r>
      <w:bookmarkStart w:id="436" w:name="xdx_90A_eus-gaap--ClassOfWarrantOrRightN"/>
      <w:bookmarkEnd w:id="436"/>
      <w:r>
        <w:rPr>
          <w:rFonts w:ascii="Times New Roman;Times;Serif" w:hAnsi="Times New Roman;Times;Serif"/>
          <w:b w:val="false"/>
          <w:i w:val="false"/>
          <w:caps w:val="false"/>
          <w:smallCaps w:val="false"/>
          <w:sz w:val="20"/>
        </w:rPr>
        <w:t>265,625 shares of the Company’s common stock issued to the Holders in connection with the February 2024 Offering (February 2024 Warrants) agreed to exercise for cash their February 2024 Warrants at a reduced exercise price of $</w:t>
      </w:r>
      <w:bookmarkStart w:id="437" w:name="xdx_90F_eus-gaap--ClassOfWarrantOrRightE"/>
      <w:bookmarkEnd w:id="437"/>
      <w:r>
        <w:rPr>
          <w:rFonts w:ascii="Times New Roman;Times;Serif" w:hAnsi="Times New Roman;Times;Serif"/>
          <w:b w:val="false"/>
          <w:i w:val="false"/>
          <w:caps w:val="false"/>
          <w:smallCaps w:val="false"/>
          <w:sz w:val="20"/>
        </w:rPr>
        <w:t xml:space="preserve">7.02 per share. In consideration for the exercise of the February 2024 Warrants, the Holders received, in addition to the reduced exercise price, new Series C common stock purchase warrants to purchase an aggregate of </w:t>
      </w:r>
      <w:bookmarkStart w:id="438" w:name="xdx_906_eus-gaap--ClassOfWarrantOrRightO"/>
      <w:bookmarkEnd w:id="438"/>
      <w:r>
        <w:rPr>
          <w:rFonts w:ascii="Times New Roman;Times;Serif" w:hAnsi="Times New Roman;Times;Serif"/>
          <w:b w:val="false"/>
          <w:i w:val="false"/>
          <w:caps w:val="false"/>
          <w:smallCaps w:val="false"/>
          <w:sz w:val="20"/>
        </w:rPr>
        <w:t xml:space="preserve">354,167 shares of the Company’s common stock and new Series D common stock purchase warrants to purchase an aggregate of </w:t>
      </w:r>
      <w:bookmarkStart w:id="439" w:name="xdx_908_eus-gaap--ClassOfWarrantOrRightO"/>
      <w:bookmarkEnd w:id="439"/>
      <w:r>
        <w:rPr>
          <w:rFonts w:ascii="Times New Roman;Times;Serif" w:hAnsi="Times New Roman;Times;Serif"/>
          <w:b w:val="false"/>
          <w:i w:val="false"/>
          <w:caps w:val="false"/>
          <w:smallCaps w:val="false"/>
          <w:sz w:val="20"/>
        </w:rPr>
        <w:t xml:space="preserve">177,083 shares of the Company’s common stock. The June 2024 Warrant Inducement is considered a modification of the existing warrants under ASC Subtopic 815-40, </w:t>
      </w:r>
      <w:r>
        <w:rPr>
          <w:rFonts w:ascii="Times New Roman;Times;Serif" w:hAnsi="Times New Roman;Times;Serif"/>
          <w:b w:val="false"/>
          <w:i/>
          <w:caps w:val="false"/>
          <w:smallCaps w:val="false"/>
          <w:sz w:val="20"/>
        </w:rPr>
        <w:t>Derivatives and Hedging, Contracts in Entity’s Own Equity</w:t>
      </w:r>
      <w:r>
        <w:rPr>
          <w:rFonts w:ascii="Times New Roman;Times;Serif" w:hAnsi="Times New Roman;Times;Serif"/>
          <w:b w:val="false"/>
          <w:i w:val="false"/>
          <w:caps w:val="false"/>
          <w:smallCaps w:val="false"/>
          <w:sz w:val="20"/>
        </w:rPr>
        <w:t>. This modification is consistent with the equity issuance classification under ASC Subtopic 815-40 as the reason for the modification was to induce the holders of the existing warrants to exercise their warrants, which raised equity capital and generated net proceeds to the Company of approximately $</w:t>
      </w:r>
      <w:bookmarkStart w:id="440" w:name="xdx_90F_eus-gaap--ProceedsFromIssuanceOf"/>
      <w:bookmarkEnd w:id="440"/>
      <w:r>
        <w:rPr>
          <w:rFonts w:ascii="Times New Roman;Times;Serif" w:hAnsi="Times New Roman;Times;Serif"/>
          <w:b w:val="false"/>
          <w:i w:val="false"/>
          <w:caps w:val="false"/>
          <w:smallCaps w:val="false"/>
          <w:sz w:val="20"/>
        </w:rPr>
        <w:t>1.6 million, after deducting the placement agent fees and other offering expenses payable by the Company. The modified warrants were classified as equity instruments before and after the modification, and the modification is directly attributable to an equity offering. The Company recognized the effect of modification of approximately $</w:t>
      </w:r>
      <w:bookmarkStart w:id="441" w:name="xdx_900_eus-gaap--PaymentsOfStockIssuanc"/>
      <w:bookmarkEnd w:id="441"/>
      <w:r>
        <w:rPr>
          <w:rFonts w:ascii="Times New Roman;Times;Serif" w:hAnsi="Times New Roman;Times;Serif"/>
          <w:b w:val="false"/>
          <w:i w:val="false"/>
          <w:caps w:val="false"/>
          <w:smallCaps w:val="false"/>
          <w:sz w:val="20"/>
        </w:rPr>
        <w:t>2.0 million as an equity issuance cost and accounting effect of the inducement is recognized in the Statement of Stockholders’ Equity. The Company received net proceeds of $</w:t>
      </w:r>
      <w:bookmarkStart w:id="442" w:name="xdx_907_eus-gaap--ProceedsFromIssuanceOr"/>
      <w:bookmarkEnd w:id="442"/>
      <w:r>
        <w:rPr>
          <w:rFonts w:ascii="Times New Roman;Times;Serif" w:hAnsi="Times New Roman;Times;Serif"/>
          <w:b w:val="false"/>
          <w:i w:val="false"/>
          <w:caps w:val="false"/>
          <w:smallCaps w:val="false"/>
          <w:sz w:val="20"/>
        </w:rPr>
        <w:t>1.6 million on the closing of the June 2024 Warrant Inducement, which occurred on July 1, 2024.</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Agreement with Lincoln Park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the Company entered into a purchase agreement (LP Purchase Agreement) and a registration rights agreement (Registration Rights Agreement) with Lincoln Park Capital Fund, LLC (Lincoln Park). Pursuant to the terms of the LP Purchase Agreement, Lincoln Park has agreed to purchase from the Company up to $</w:t>
      </w:r>
      <w:bookmarkStart w:id="443" w:name="xdx_909_eus-gaap--ProceedsFromIssuanceOf"/>
      <w:bookmarkEnd w:id="443"/>
      <w:r>
        <w:rPr>
          <w:rFonts w:ascii="Times New Roman;Times;Serif" w:hAnsi="Times New Roman;Times;Serif"/>
          <w:b w:val="false"/>
          <w:i w:val="false"/>
          <w:caps w:val="false"/>
          <w:smallCaps w:val="false"/>
          <w:sz w:val="20"/>
        </w:rPr>
        <w:t xml:space="preserve">12 million of the Company’s common stock subject to certain limitations and satisfaction of the conditions set forth in the LP Purchase Agreement. Pursuant to the terms of the Registration Rights Agreement, the Company filed with the SEC registration statements to register for resale under the Securities Act </w:t>
      </w:r>
      <w:bookmarkStart w:id="444" w:name="xdx_90F_eus-gaap--SaleOfStockConsiderati"/>
      <w:bookmarkEnd w:id="444"/>
      <w:r>
        <w:rPr>
          <w:rFonts w:ascii="Times New Roman;Times;Serif" w:hAnsi="Times New Roman;Times;Serif"/>
          <w:b w:val="false"/>
          <w:i w:val="false"/>
          <w:caps w:val="false"/>
          <w:smallCaps w:val="false"/>
          <w:sz w:val="20"/>
        </w:rPr>
        <w:t>2,685,417 shares of common stock that have been or may be issued to Lincoln Park under the LP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LP Purchase Agreement, at the time the Company signed the LP Purchase Agreement and the Registration Rights Agreement, the Company issued </w:t>
      </w:r>
      <w:bookmarkStart w:id="445" w:name="xdx_90C_eus-gaap--StockIssuedDuringPerio"/>
      <w:bookmarkEnd w:id="445"/>
      <w:r>
        <w:rPr>
          <w:rFonts w:ascii="Times New Roman;Times;Serif" w:hAnsi="Times New Roman;Times;Serif"/>
          <w:b w:val="false"/>
          <w:i w:val="false"/>
          <w:caps w:val="false"/>
          <w:smallCaps w:val="false"/>
          <w:sz w:val="20"/>
        </w:rPr>
        <w:t>1,534 shares of common stock to Lincoln Park as consideration for its commitment to purchase shares of common stock under the LP Purchase Agreement. The commitment shares were valued at $</w:t>
      </w:r>
      <w:bookmarkStart w:id="446" w:name="xdx_904_eus-gaap--StockIssuedDuringPerio"/>
      <w:bookmarkEnd w:id="446"/>
      <w:r>
        <w:rPr>
          <w:rFonts w:ascii="Times New Roman;Times;Serif" w:hAnsi="Times New Roman;Times;Serif"/>
          <w:b w:val="false"/>
          <w:i w:val="false"/>
          <w:caps w:val="false"/>
          <w:smallCaps w:val="false"/>
          <w:sz w:val="20"/>
        </w:rPr>
        <w:t>400,409 and recorded as an addition to equity for the issuance of the common stock and treated as a reduction to equity as a cost of capital to be raised under the LP Purchase Agreement.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2024 and 2023, the Company sold </w:t>
      </w:r>
      <w:bookmarkStart w:id="447" w:name="xdx_90F_eus-gaap--SaleOfStockNumberOfSha"/>
      <w:bookmarkEnd w:id="447"/>
      <w:r>
        <w:rPr>
          <w:rFonts w:ascii="Times New Roman;Times;Serif" w:hAnsi="Times New Roman;Times;Serif"/>
          <w:b w:val="false"/>
          <w:i w:val="false"/>
          <w:caps w:val="false"/>
          <w:smallCaps w:val="false"/>
          <w:sz w:val="20"/>
        </w:rPr>
        <w:t xml:space="preserve">1,472,363 and </w:t>
      </w:r>
      <w:bookmarkStart w:id="448" w:name="xdx_905_eus-gaap--SaleOfStockNumberOfSha"/>
      <w:bookmarkEnd w:id="448"/>
      <w:r>
        <w:rPr>
          <w:rFonts w:ascii="Times New Roman;Times;Serif" w:hAnsi="Times New Roman;Times;Serif"/>
          <w:b w:val="false"/>
          <w:i w:val="false"/>
          <w:caps w:val="false"/>
          <w:smallCaps w:val="false"/>
          <w:sz w:val="20"/>
        </w:rPr>
        <w:t>2,125 shares of common stock, respectively, under the LP Purchase Agreement, for net proceeds of $</w:t>
      </w:r>
      <w:bookmarkStart w:id="449" w:name="xdx_905_eus-gaap--ProceedsFromIssuanceOf"/>
      <w:bookmarkEnd w:id="449"/>
      <w:r>
        <w:rPr>
          <w:rFonts w:ascii="Times New Roman;Times;Serif" w:hAnsi="Times New Roman;Times;Serif"/>
          <w:b w:val="false"/>
          <w:i w:val="false"/>
          <w:caps w:val="false"/>
          <w:smallCaps w:val="false"/>
          <w:sz w:val="20"/>
        </w:rPr>
        <w:t>8,037,501 and $</w:t>
      </w:r>
      <w:bookmarkStart w:id="450" w:name="xdx_901_eus-gaap--ProceedsFromIssuanceOf"/>
      <w:bookmarkEnd w:id="450"/>
      <w:r>
        <w:rPr>
          <w:rFonts w:ascii="Times New Roman;Times;Serif" w:hAnsi="Times New Roman;Times;Serif"/>
          <w:b w:val="false"/>
          <w:i w:val="false"/>
          <w:caps w:val="false"/>
          <w:smallCaps w:val="false"/>
          <w:sz w:val="20"/>
        </w:rPr>
        <w:t>449,227, respectively.</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 the Market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the Company entered into the ATM Agreement with H.C. Wainwright &amp; Co., LLC (HCW) pursuant to which the Company may issue and sell, from time to time, shares of the Company’s common stock having an aggregate offering price of up to $</w:t>
      </w:r>
      <w:bookmarkStart w:id="451" w:name="xdx_90A_eus-gaap--ProceedsFromIssuanceOf"/>
      <w:bookmarkEnd w:id="451"/>
      <w:r>
        <w:rPr>
          <w:rFonts w:ascii="Times New Roman;Times;Serif" w:hAnsi="Times New Roman;Times;Serif"/>
          <w:b w:val="false"/>
          <w:i w:val="false"/>
          <w:caps w:val="false"/>
          <w:smallCaps w:val="false"/>
          <w:sz w:val="20"/>
        </w:rPr>
        <w:t xml:space="preserve">4.97 million in at-the-market offerings sales. HCW will act as sales agent and will be paid a </w:t>
      </w:r>
      <w:bookmarkStart w:id="452" w:name="xdx_901_eus-gaap--SaleOfStockPercentageO"/>
      <w:bookmarkEnd w:id="452"/>
      <w:r>
        <w:rPr>
          <w:rFonts w:ascii="Times New Roman;Times;Serif" w:hAnsi="Times New Roman;Times;Serif"/>
          <w:b w:val="false"/>
          <w:i w:val="false"/>
          <w:caps w:val="false"/>
          <w:smallCaps w:val="false"/>
          <w:sz w:val="20"/>
        </w:rPr>
        <w:t>3% commission on each sale under the ATM Agreement. The Company’s common stock will be sold at prevailing market prices at the time of the sale, and, as a result, prices will vary.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the Company increased the maximum aggregate offering price of the shares of the Company’s common stock issuable under the ATM Agreement from $</w:t>
      </w:r>
      <w:bookmarkStart w:id="453" w:name="xdx_90F_eus-gaap--StockIssuedDuringPerio"/>
      <w:bookmarkEnd w:id="453"/>
      <w:r>
        <w:rPr>
          <w:rFonts w:ascii="Times New Roman;Times;Serif" w:hAnsi="Times New Roman;Times;Serif"/>
          <w:b w:val="false"/>
          <w:i w:val="false"/>
          <w:caps w:val="false"/>
          <w:smallCaps w:val="false"/>
          <w:sz w:val="20"/>
        </w:rPr>
        <w:t>4.97 million to $</w:t>
      </w:r>
      <w:bookmarkStart w:id="454" w:name="xdx_90A_eus-gaap--StockIssuedDuringPerio"/>
      <w:bookmarkEnd w:id="454"/>
      <w:r>
        <w:rPr>
          <w:rFonts w:ascii="Times New Roman;Times;Serif" w:hAnsi="Times New Roman;Times;Serif"/>
          <w:b w:val="false"/>
          <w:i w:val="false"/>
          <w:caps w:val="false"/>
          <w:smallCaps w:val="false"/>
          <w:sz w:val="20"/>
        </w:rPr>
        <w:t>8.47 million and filed a prospectus supplement for an aggregate of $</w:t>
      </w:r>
      <w:bookmarkStart w:id="455" w:name="xdx_903_ecustom--IncreaseInAggregateValu"/>
      <w:bookmarkEnd w:id="455"/>
      <w:r>
        <w:rPr>
          <w:rFonts w:ascii="Times New Roman;Times;Serif" w:hAnsi="Times New Roman;Times;Serif"/>
          <w:b w:val="false"/>
          <w:i w:val="false"/>
          <w:caps w:val="false"/>
          <w:smallCaps w:val="false"/>
          <w:sz w:val="20"/>
        </w:rPr>
        <w:t xml:space="preserve">3.5 million. In connection with the filing of the prospectus supplement, on March 17, 2024, the Company received a waiver from the purchaser in the February 2024 Offering under the securities purchase agreement, dated February 2, 2024, by and between the Company and such purchaser. In consideration of the waiver set forth therein, the Company agreed to lower the exercise price of the Series A warrants to purchase up to an aggregate of </w:t>
      </w:r>
      <w:bookmarkStart w:id="456" w:name="xdx_906_eus-gaap--ClassOfWarrantOrRightO"/>
      <w:bookmarkEnd w:id="456"/>
      <w:r>
        <w:rPr>
          <w:rFonts w:ascii="Times New Roman;Times;Serif" w:hAnsi="Times New Roman;Times;Serif"/>
          <w:b w:val="false"/>
          <w:i w:val="false"/>
          <w:caps w:val="false"/>
          <w:smallCaps w:val="false"/>
          <w:sz w:val="20"/>
        </w:rPr>
        <w:t xml:space="preserve">28,855 shares of common stock and Series B warrants to purchase up to an aggregate of </w:t>
      </w:r>
      <w:bookmarkStart w:id="457" w:name="xdx_908_eus-gaap--ClassOfWarrantOrRightO"/>
      <w:bookmarkEnd w:id="457"/>
      <w:r>
        <w:rPr>
          <w:rFonts w:ascii="Times New Roman;Times;Serif" w:hAnsi="Times New Roman;Times;Serif"/>
          <w:b w:val="false"/>
          <w:i w:val="false"/>
          <w:caps w:val="false"/>
          <w:smallCaps w:val="false"/>
          <w:sz w:val="20"/>
        </w:rPr>
        <w:t>14,428 shares of common stock to $</w:t>
      </w:r>
      <w:bookmarkStart w:id="458" w:name="xdx_90D_eus-gaap--SharePrice_iI_pid_c202"/>
      <w:bookmarkEnd w:id="458"/>
      <w:r>
        <w:rPr>
          <w:rFonts w:ascii="Times New Roman;Times;Serif" w:hAnsi="Times New Roman;Times;Serif"/>
          <w:b w:val="false"/>
          <w:i w:val="false"/>
          <w:caps w:val="false"/>
          <w:smallCaps w:val="false"/>
          <w:sz w:val="20"/>
        </w:rPr>
        <w:t>13.56, which warrants were previously issued by the Company to such purchaser on September 13, 2023 and to extend the exercise term of the Series A warrants to March 17, 2029 and the term of the Series B warrants to March 17, 2026. The modifications to the warrants had no impact on the consolidated financial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2024, the Company increased the maximum aggregate offering price of shares of the Company’s common stock issuable under the ATM Agreement from $</w:t>
      </w:r>
      <w:bookmarkStart w:id="459" w:name="xdx_902_eus-gaap--StockIssuedDuringPerio"/>
      <w:bookmarkEnd w:id="459"/>
      <w:r>
        <w:rPr>
          <w:rFonts w:ascii="Times New Roman;Times;Serif" w:hAnsi="Times New Roman;Times;Serif"/>
          <w:b w:val="false"/>
          <w:i w:val="false"/>
          <w:caps w:val="false"/>
          <w:smallCaps w:val="false"/>
          <w:sz w:val="20"/>
        </w:rPr>
        <w:t>8.47 million to $</w:t>
      </w:r>
      <w:bookmarkStart w:id="460" w:name="xdx_902_eus-gaap--StockIssuedDuringPerio"/>
      <w:bookmarkEnd w:id="460"/>
      <w:r>
        <w:rPr>
          <w:rFonts w:ascii="Times New Roman;Times;Serif" w:hAnsi="Times New Roman;Times;Serif"/>
          <w:b w:val="false"/>
          <w:i w:val="false"/>
          <w:caps w:val="false"/>
          <w:smallCaps w:val="false"/>
          <w:sz w:val="20"/>
        </w:rPr>
        <w:t>11.33 million and filed a prospectus supplement for an aggregate of $</w:t>
      </w:r>
      <w:bookmarkStart w:id="461" w:name="xdx_907_ecustom--IncreaseInAggregateValu"/>
      <w:bookmarkEnd w:id="461"/>
      <w:r>
        <w:rPr>
          <w:rFonts w:ascii="Times New Roman;Times;Serif" w:hAnsi="Times New Roman;Times;Serif"/>
          <w:b w:val="false"/>
          <w:i w:val="false"/>
          <w:caps w:val="false"/>
          <w:smallCaps w:val="false"/>
          <w:sz w:val="20"/>
        </w:rPr>
        <w:t>2.86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2024, the Company increased the maximum aggregate offering price of shares of the Company’s common stock issuable under the ATM Agreement from $</w:t>
      </w:r>
      <w:bookmarkStart w:id="462" w:name="xdx_903_eus-gaap--StockIssuedDuringPerio"/>
      <w:bookmarkEnd w:id="462"/>
      <w:r>
        <w:rPr>
          <w:rFonts w:ascii="Times New Roman;Times;Serif" w:hAnsi="Times New Roman;Times;Serif"/>
          <w:b w:val="false"/>
          <w:i w:val="false"/>
          <w:caps w:val="false"/>
          <w:smallCaps w:val="false"/>
          <w:sz w:val="20"/>
        </w:rPr>
        <w:t>11.33 million to $</w:t>
      </w:r>
      <w:bookmarkStart w:id="463" w:name="xdx_903_eus-gaap--StockIssuedDuringPerio"/>
      <w:bookmarkEnd w:id="463"/>
      <w:r>
        <w:rPr>
          <w:rFonts w:ascii="Times New Roman;Times;Serif" w:hAnsi="Times New Roman;Times;Serif"/>
          <w:b w:val="false"/>
          <w:i w:val="false"/>
          <w:caps w:val="false"/>
          <w:smallCaps w:val="false"/>
          <w:sz w:val="20"/>
        </w:rPr>
        <w:t>15.2 million and filed a prospectus supplement for an aggregate of $</w:t>
      </w:r>
      <w:bookmarkStart w:id="464" w:name="xdx_905_ecustom--IncreaseInAggregateValu"/>
      <w:bookmarkEnd w:id="464"/>
      <w:r>
        <w:rPr>
          <w:rFonts w:ascii="Times New Roman;Times;Serif" w:hAnsi="Times New Roman;Times;Serif"/>
          <w:b w:val="false"/>
          <w:i w:val="false"/>
          <w:caps w:val="false"/>
          <w:smallCaps w:val="false"/>
          <w:sz w:val="20"/>
        </w:rPr>
        <w:t>3.87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2024, the Company increased the maximum aggregate offering price of shares of the Company’s common stock issuable under the ATM Agreement from $</w:t>
      </w:r>
      <w:bookmarkStart w:id="465" w:name="xdx_901_eus-gaap--StockIssuedDuringPerio"/>
      <w:bookmarkEnd w:id="465"/>
      <w:r>
        <w:rPr>
          <w:rFonts w:ascii="Times New Roman;Times;Serif" w:hAnsi="Times New Roman;Times;Serif"/>
          <w:b w:val="false"/>
          <w:i w:val="false"/>
          <w:caps w:val="false"/>
          <w:smallCaps w:val="false"/>
          <w:sz w:val="20"/>
        </w:rPr>
        <w:t>15.2 million to $</w:t>
      </w:r>
      <w:bookmarkStart w:id="466" w:name="xdx_900_eus-gaap--StockIssuedDuringPerio"/>
      <w:bookmarkEnd w:id="466"/>
      <w:r>
        <w:rPr>
          <w:rFonts w:ascii="Times New Roman;Times;Serif" w:hAnsi="Times New Roman;Times;Serif"/>
          <w:b w:val="false"/>
          <w:i w:val="false"/>
          <w:caps w:val="false"/>
          <w:smallCaps w:val="false"/>
          <w:sz w:val="20"/>
        </w:rPr>
        <w:t>23.5 million and filed a prospectus supplement for an aggregate of $</w:t>
      </w:r>
      <w:bookmarkStart w:id="467" w:name="xdx_909_ecustom--IncreaseInAggregateValu"/>
      <w:bookmarkEnd w:id="467"/>
      <w:r>
        <w:rPr>
          <w:rFonts w:ascii="Times New Roman;Times;Serif" w:hAnsi="Times New Roman;Times;Serif"/>
          <w:b w:val="false"/>
          <w:i w:val="false"/>
          <w:caps w:val="false"/>
          <w:smallCaps w:val="false"/>
          <w:sz w:val="20"/>
        </w:rPr>
        <w:t>8.3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2024 and 2023, the Company sold </w:t>
      </w:r>
      <w:bookmarkStart w:id="468" w:name="xdx_906_eus-gaap--SaleOfStockNumberOfSha"/>
      <w:bookmarkEnd w:id="468"/>
      <w:r>
        <w:rPr>
          <w:rFonts w:ascii="Times New Roman;Times;Serif" w:hAnsi="Times New Roman;Times;Serif"/>
          <w:b w:val="false"/>
          <w:i w:val="false"/>
          <w:caps w:val="false"/>
          <w:smallCaps w:val="false"/>
          <w:sz w:val="20"/>
        </w:rPr>
        <w:t xml:space="preserve">983,093 and </w:t>
      </w:r>
      <w:bookmarkStart w:id="469" w:name="xdx_901_eus-gaap--SaleOfStockNumberOfSha"/>
      <w:bookmarkEnd w:id="469"/>
      <w:r>
        <w:rPr>
          <w:rFonts w:ascii="Times New Roman;Times;Serif" w:hAnsi="Times New Roman;Times;Serif"/>
          <w:b w:val="false"/>
          <w:i w:val="false"/>
          <w:caps w:val="false"/>
          <w:smallCaps w:val="false"/>
          <w:sz w:val="20"/>
        </w:rPr>
        <w:t>6,868 shares of common stock, respectively, under the ATM agreement, for net proceeds of $</w:t>
      </w:r>
      <w:bookmarkStart w:id="470" w:name="xdx_90B_eus-gaap--ProceedsFromIssuanceOf"/>
      <w:bookmarkEnd w:id="470"/>
      <w:r>
        <w:rPr>
          <w:rFonts w:ascii="Times New Roman;Times;Serif" w:hAnsi="Times New Roman;Times;Serif"/>
          <w:b w:val="false"/>
          <w:i w:val="false"/>
          <w:caps w:val="false"/>
          <w:smallCaps w:val="false"/>
          <w:sz w:val="20"/>
        </w:rPr>
        <w:t>9,393,550 and $</w:t>
      </w:r>
      <w:bookmarkStart w:id="471" w:name="xdx_900_eus-gaap--ProceedsFromIssuanceOf"/>
      <w:bookmarkEnd w:id="471"/>
      <w:r>
        <w:rPr>
          <w:rFonts w:ascii="Times New Roman;Times;Serif" w:hAnsi="Times New Roman;Times;Serif"/>
          <w:b w:val="false"/>
          <w:i w:val="false"/>
          <w:caps w:val="false"/>
          <w:smallCaps w:val="false"/>
          <w:sz w:val="20"/>
        </w:rPr>
        <w:t>1,745,737, respectively.</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bookmarkStart w:id="472" w:name="xdx_805_ecustom--CommonStockPurchaseWarr"/>
      <w:bookmarkEnd w:id="472"/>
      <w:r>
        <w:rPr>
          <w:caps w:val="false"/>
          <w:smallCaps w:val="false"/>
        </w:rPr>
        <w:t> </w:t>
      </w:r>
      <w:r>
        <w:rPr>
          <w:rFonts w:ascii="Times New Roman;Times;Serif" w:hAnsi="Times New Roman;Times;Serif"/>
          <w:b/>
          <w:i w:val="false"/>
          <w:caps w:val="false"/>
          <w:smallCaps w:val="false"/>
          <w:sz w:val="20"/>
        </w:rPr>
        <w:t xml:space="preserve">(11) </w:t>
      </w:r>
      <w:bookmarkStart w:id="473" w:name="xdx_826_zTYJYZWW4Q73"/>
      <w:bookmarkEnd w:id="473"/>
      <w:r>
        <w:rPr>
          <w:rFonts w:ascii="Times New Roman;Times;Serif" w:hAnsi="Times New Roman;Times;Serif"/>
          <w:b/>
          <w:i w:val="false"/>
          <w:caps w:val="false"/>
          <w:smallCaps w:val="false"/>
          <w:sz w:val="20"/>
        </w:rPr>
        <w:t>Common Stock Purchase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Public Offering</w:t>
      </w:r>
    </w:p>
    <w:p>
      <w:pPr>
        <w:pStyle w:val="TextBody"/>
        <w:bidi w:val="0"/>
        <w:jc w:val="left"/>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each of the </w:t>
      </w:r>
      <w:bookmarkStart w:id="474" w:name="xdx_907_eus-gaap--ClassOfWarrantOrRightN"/>
      <w:bookmarkEnd w:id="474"/>
      <w:r>
        <w:rPr>
          <w:rFonts w:ascii="Times New Roman;Times;Serif" w:hAnsi="Times New Roman;Times;Serif"/>
          <w:b w:val="false"/>
          <w:i w:val="false"/>
          <w:caps w:val="false"/>
          <w:smallCaps w:val="false"/>
          <w:sz w:val="20"/>
        </w:rPr>
        <w:t>17,361 shares of common stock issued in connection with the Company’s IPO, one common stock purchase warrant was also issued and included in the unit price of $</w:t>
      </w:r>
      <w:bookmarkStart w:id="475" w:name="xdx_90E_eus-gaap--ClassOfWarrantOrRightE"/>
      <w:bookmarkEnd w:id="475"/>
      <w:r>
        <w:rPr>
          <w:rFonts w:ascii="Times New Roman;Times;Serif" w:hAnsi="Times New Roman;Times;Serif"/>
          <w:b w:val="false"/>
          <w:i w:val="false"/>
          <w:caps w:val="false"/>
          <w:smallCaps w:val="false"/>
          <w:sz w:val="20"/>
        </w:rPr>
        <w:t xml:space="preserve">1,440.00. These warrants were immediately separable and tradeable. The underwriters purchased </w:t>
      </w:r>
      <w:bookmarkStart w:id="476" w:name="xdx_907_eus-gaap--ClassOfWarrantOrRightN"/>
      <w:bookmarkStart w:id="477" w:name="xdx_907_eus-gaap--ClassOfWarrantOrRightN"/>
      <w:bookmarkEnd w:id="476"/>
      <w:bookmarkEnd w:id="477"/>
      <w:r>
        <w:rPr>
          <w:rFonts w:ascii="Times New Roman;Times;Serif" w:hAnsi="Times New Roman;Times;Serif"/>
          <w:b w:val="false"/>
          <w:i w:val="false"/>
          <w:caps w:val="false"/>
          <w:smallCaps w:val="false"/>
          <w:sz w:val="20"/>
        </w:rPr>
        <w:t>2,604 additional common stock purchase warrants for $</w:t>
      </w:r>
      <w:bookmarkStart w:id="478" w:name="xdx_90D_eus-gaap--ClassOfWarrantOrRightE"/>
      <w:bookmarkEnd w:id="478"/>
      <w:r>
        <w:rPr>
          <w:rFonts w:ascii="Times New Roman;Times;Serif" w:hAnsi="Times New Roman;Times;Serif"/>
          <w:b w:val="false"/>
          <w:i w:val="false"/>
          <w:caps w:val="false"/>
          <w:smallCaps w:val="false"/>
          <w:sz w:val="20"/>
        </w:rPr>
        <w:t xml:space="preserve">.012 per warrant less underwriting discounts and commissions. These </w:t>
      </w:r>
      <w:bookmarkStart w:id="479" w:name="xdx_904_eus-gaap--ClassOfWarrantOrRightN"/>
      <w:bookmarkEnd w:id="479"/>
      <w:r>
        <w:rPr>
          <w:rFonts w:ascii="Times New Roman;Times;Serif" w:hAnsi="Times New Roman;Times;Serif"/>
          <w:b w:val="false"/>
          <w:i w:val="false"/>
          <w:caps w:val="false"/>
          <w:smallCaps w:val="false"/>
          <w:sz w:val="20"/>
        </w:rPr>
        <w:t>19,965 common stock purchase warrants have an exercise price of $</w:t>
      </w:r>
      <w:bookmarkStart w:id="480" w:name="xdx_907_eus-gaap--ClassOfWarrantOrRightE"/>
      <w:bookmarkEnd w:id="480"/>
      <w:r>
        <w:rPr>
          <w:rFonts w:ascii="Times New Roman;Times;Serif" w:hAnsi="Times New Roman;Times;Serif"/>
          <w:b w:val="false"/>
          <w:i w:val="false"/>
          <w:caps w:val="false"/>
          <w:smallCaps w:val="false"/>
          <w:sz w:val="20"/>
        </w:rPr>
        <w:t xml:space="preserve">1,440.00 per share and are </w:t>
      </w:r>
      <w:bookmarkStart w:id="481" w:name="xdx_908_eus-gaap--ClassOfWarrantOrRightR"/>
      <w:bookmarkEnd w:id="481"/>
      <w:r>
        <w:rPr>
          <w:rFonts w:ascii="Times New Roman;Times;Serif" w:hAnsi="Times New Roman;Times;Serif"/>
          <w:b w:val="false"/>
          <w:i w:val="false"/>
          <w:caps w:val="false"/>
          <w:smallCaps w:val="false"/>
          <w:sz w:val="20"/>
        </w:rPr>
        <w:t>exercisable from December 10, 2021 through December 10, 2026. Upon the termination date, these warrants will be automatically exercised via a cashless exercise.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common stock purchase warrants noted above, the Company issued </w:t>
      </w:r>
      <w:bookmarkStart w:id="482" w:name="xdx_90D_eus-gaap--ClassOfWarrantOrRightN"/>
      <w:bookmarkEnd w:id="482"/>
      <w:r>
        <w:rPr>
          <w:rFonts w:ascii="Times New Roman;Times;Serif" w:hAnsi="Times New Roman;Times;Serif"/>
          <w:b w:val="false"/>
          <w:i w:val="false"/>
          <w:caps w:val="false"/>
          <w:smallCaps w:val="false"/>
          <w:sz w:val="20"/>
        </w:rPr>
        <w:t>868 common stock purchase warrants to the underwriters for the Company’s IPO pursuant to the underwriting agreement. These warrants have an exercise price of $</w:t>
      </w:r>
      <w:bookmarkStart w:id="483" w:name="xdx_90E_eus-gaap--ClassOfWarrantOrRightE"/>
      <w:bookmarkEnd w:id="483"/>
      <w:r>
        <w:rPr>
          <w:rFonts w:ascii="Times New Roman;Times;Serif" w:hAnsi="Times New Roman;Times;Serif"/>
          <w:b w:val="false"/>
          <w:i w:val="false"/>
          <w:caps w:val="false"/>
          <w:smallCaps w:val="false"/>
          <w:sz w:val="20"/>
        </w:rPr>
        <w:t xml:space="preserve">1,800.00 per share and provide for a cashless exercise feature. These </w:t>
      </w:r>
      <w:bookmarkStart w:id="484" w:name="xdx_90B_eus-gaap--ClassOfWarrantOrRightR"/>
      <w:bookmarkEnd w:id="484"/>
      <w:r>
        <w:rPr>
          <w:rFonts w:ascii="Times New Roman;Times;Serif" w:hAnsi="Times New Roman;Times;Serif"/>
          <w:b w:val="false"/>
          <w:i w:val="false"/>
          <w:caps w:val="false"/>
          <w:smallCaps w:val="false"/>
          <w:sz w:val="20"/>
        </w:rPr>
        <w:t>warrants are exercisable from June 7, 2023 through December 10,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2023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each of the </w:t>
      </w:r>
      <w:bookmarkStart w:id="485" w:name="xdx_90A_eus-gaap--ClassOfWarrantOrRightN"/>
      <w:bookmarkEnd w:id="485"/>
      <w:r>
        <w:rPr>
          <w:rFonts w:ascii="Times New Roman;Times;Serif" w:hAnsi="Times New Roman;Times;Serif"/>
          <w:b w:val="false"/>
          <w:i w:val="false"/>
          <w:caps w:val="false"/>
          <w:smallCaps w:val="false"/>
          <w:sz w:val="20"/>
        </w:rPr>
        <w:t xml:space="preserve">28,855 shares of common stock and pre-funded warrants issued in the September 2023 Offering, the Company issued Series A warrants to purchase up to </w:t>
      </w:r>
      <w:bookmarkStart w:id="486" w:name="xdx_903_eus-gaap--ClassOfWarrantOrRightN"/>
      <w:bookmarkEnd w:id="486"/>
      <w:r>
        <w:rPr>
          <w:rFonts w:ascii="Times New Roman;Times;Serif" w:hAnsi="Times New Roman;Times;Serif"/>
          <w:b w:val="false"/>
          <w:i w:val="false"/>
          <w:caps w:val="false"/>
          <w:smallCaps w:val="false"/>
          <w:sz w:val="20"/>
        </w:rPr>
        <w:t xml:space="preserve">28,855 shares of common stock and Series B warrants to purchase up to </w:t>
      </w:r>
      <w:bookmarkStart w:id="487" w:name="xdx_90B_eus-gaap--ClassOfWarrantOrRightN"/>
      <w:bookmarkEnd w:id="487"/>
      <w:r>
        <w:rPr>
          <w:rFonts w:ascii="Times New Roman;Times;Serif" w:hAnsi="Times New Roman;Times;Serif"/>
          <w:b w:val="false"/>
          <w:i w:val="false"/>
          <w:caps w:val="false"/>
          <w:smallCaps w:val="false"/>
          <w:sz w:val="20"/>
        </w:rPr>
        <w:t>14,428 shares of common stock. The Series A and Series B warrants had an original exercise price of $</w:t>
      </w:r>
      <w:bookmarkStart w:id="488" w:name="xdx_908_eus-gaap--ClassOfWarrantOrRightE"/>
      <w:bookmarkStart w:id="489" w:name="xdx_908_eus-gaap--ClassOfWarrantOrRightE"/>
      <w:bookmarkEnd w:id="488"/>
      <w:bookmarkEnd w:id="489"/>
      <w:r>
        <w:rPr>
          <w:rFonts w:ascii="Times New Roman;Times;Serif" w:hAnsi="Times New Roman;Times;Serif"/>
          <w:b w:val="false"/>
          <w:i w:val="false"/>
          <w:caps w:val="false"/>
          <w:smallCaps w:val="false"/>
          <w:sz w:val="20"/>
        </w:rPr>
        <w:t>138.62 per share and became exercisable on the effective date of stockholder approval of the shares issuable pursuant to the warrants. In connection with the waiver granted in March 2024 by the purchaser in the February 2024 Offering to allow the Company to file a prospectus supplement to increase the maximum aggregate offering price of shares of the Company’s common stock issuable under the ATM Agreement, the exercise price of the Series A and Series B warrants was lowered to $</w:t>
      </w:r>
      <w:bookmarkStart w:id="490" w:name="xdx_90B_eus-gaap--ClassOfWarrantOrRightE"/>
      <w:bookmarkEnd w:id="490"/>
      <w:r>
        <w:rPr>
          <w:rFonts w:ascii="Times New Roman;Times;Serif" w:hAnsi="Times New Roman;Times;Serif"/>
          <w:b w:val="false"/>
          <w:i w:val="false"/>
          <w:caps w:val="false"/>
          <w:smallCaps w:val="false"/>
          <w:sz w:val="20"/>
        </w:rPr>
        <w:t>13.56 per share and the term of the Series A warrants was extended to March 17, 2029 and the term of the Series B warrants was extended to March 17,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valued the pre-funded warrants to purchase </w:t>
      </w:r>
      <w:bookmarkStart w:id="491" w:name="xdx_908_eus-gaap--ClassOfWarrantOrRightO"/>
      <w:bookmarkEnd w:id="491"/>
      <w:r>
        <w:rPr>
          <w:rFonts w:ascii="Times New Roman;Times;Serif" w:hAnsi="Times New Roman;Times;Serif"/>
          <w:b w:val="false"/>
          <w:i w:val="false"/>
          <w:caps w:val="false"/>
          <w:smallCaps w:val="false"/>
          <w:sz w:val="20"/>
        </w:rPr>
        <w:t>21,688 shares of common stock based on their issuance date fair value of $</w:t>
      </w:r>
      <w:bookmarkStart w:id="492" w:name="xdx_908_eus-gaap--WarrantsAndRightsOutst"/>
      <w:bookmarkEnd w:id="492"/>
      <w:r>
        <w:rPr>
          <w:rFonts w:ascii="Times New Roman;Times;Serif" w:hAnsi="Times New Roman;Times;Serif"/>
          <w:b w:val="false"/>
          <w:i w:val="false"/>
          <w:caps w:val="false"/>
          <w:smallCaps w:val="false"/>
          <w:sz w:val="20"/>
        </w:rPr>
        <w:t>3,006,008. As of December 31, 2023, all of the pre-funded warrants relating to the September 2023 Offering had been exercised.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September 2023 Offering, the Company issued placement agent warrants to purchase up to </w:t>
      </w:r>
      <w:bookmarkStart w:id="493" w:name="xdx_90A_eus-gaap--ClassOfWarrantOrRightO"/>
      <w:bookmarkEnd w:id="493"/>
      <w:r>
        <w:rPr>
          <w:rFonts w:ascii="Times New Roman;Times;Serif" w:hAnsi="Times New Roman;Times;Serif"/>
          <w:b w:val="false"/>
          <w:i w:val="false"/>
          <w:caps w:val="false"/>
          <w:smallCaps w:val="false"/>
          <w:sz w:val="20"/>
        </w:rPr>
        <w:t>1,443 shares of common stock. The placement agent warrants have an exercise price of $</w:t>
      </w:r>
      <w:bookmarkStart w:id="494" w:name="xdx_902_eus-gaap--ClassOfWarrantOrRightE"/>
      <w:bookmarkEnd w:id="494"/>
      <w:r>
        <w:rPr>
          <w:rFonts w:ascii="Times New Roman;Times;Serif" w:hAnsi="Times New Roman;Times;Serif"/>
          <w:b w:val="false"/>
          <w:i w:val="false"/>
          <w:caps w:val="false"/>
          <w:smallCaps w:val="false"/>
          <w:sz w:val="20"/>
        </w:rPr>
        <w:t>173.28 per share. These warrants have a five-year term ending September 11, 2028.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of the September 2023 public offering was allocated to the common stock and common stock purchase warrants using the relative fair value method shown as follows. Fair value of the warrants was recorded to Additional Paid-in-Capital on the Company’s balance sheet.</w:t>
      </w:r>
    </w:p>
    <w:p>
      <w:pPr>
        <w:pStyle w:val="TextBody"/>
        <w:bidi w:val="0"/>
        <w:jc w:val="both"/>
        <w:rPr>
          <w:rFonts w:ascii="Times New Roman;Times;Serif" w:hAnsi="Times New Roman;Times;Serif"/>
          <w:b w:val="false"/>
          <w:i w:val="false"/>
          <w:caps w:val="false"/>
          <w:smallCaps w:val="false"/>
          <w:sz w:val="20"/>
        </w:rPr>
      </w:pPr>
      <w:bookmarkStart w:id="495" w:name="xdx_8B2_zcmZHKSoOpgd"/>
      <w:bookmarkStart w:id="496" w:name="xdx_89F_ecustom--ScheduleOfFairValueOfWa"/>
      <w:bookmarkEnd w:id="495"/>
      <w:bookmarkEnd w:id="496"/>
      <w:r>
        <w:rPr>
          <w:rFonts w:ascii="Times New Roman;Times;Serif" w:hAnsi="Times New Roman;Times;Serif"/>
          <w:b w:val="false"/>
          <w:i w:val="false"/>
          <w:caps w:val="false"/>
          <w:smallCaps w:val="false"/>
          <w:sz w:val="20"/>
        </w:rPr>
        <w:t>Schedule of Fair Value of the Warrants to Additional Paid in Capital  </w:t>
      </w:r>
    </w:p>
    <w:tbl>
      <w:tblPr>
        <w:tblW w:w="7799" w:type="dxa"/>
        <w:jc w:val="left"/>
        <w:tblInd w:w="0" w:type="dxa"/>
        <w:tblLayout w:type="fixed"/>
        <w:tblCellMar>
          <w:top w:w="0" w:type="dxa"/>
          <w:left w:w="0" w:type="dxa"/>
          <w:bottom w:w="0" w:type="dxa"/>
          <w:right w:w="0" w:type="dxa"/>
        </w:tblCellMar>
      </w:tblPr>
      <w:tblGrid>
        <w:gridCol w:w="4130"/>
        <w:gridCol w:w="60"/>
        <w:gridCol w:w="140"/>
        <w:gridCol w:w="980"/>
        <w:gridCol w:w="60"/>
        <w:gridCol w:w="60"/>
        <w:gridCol w:w="80"/>
        <w:gridCol w:w="747"/>
        <w:gridCol w:w="287"/>
        <w:gridCol w:w="60"/>
        <w:gridCol w:w="140"/>
        <w:gridCol w:w="980"/>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3"/>
            <w:tcBorders/>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1195" w:type="dxa"/>
            <w:gridSpan w:val="3"/>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vAlign w:val="center"/>
          </w:tcPr>
          <w:p>
            <w:pPr>
              <w:pStyle w:val="TableContents"/>
              <w:bidi w:val="0"/>
              <w:spacing w:before="0" w:after="283"/>
              <w:jc w:val="center"/>
              <w:rPr>
                <w:b/>
              </w:rPr>
            </w:pPr>
            <w:r>
              <w:rPr>
                <w:b/>
              </w:rPr>
              <w:t>Fair</w:t>
            </w:r>
          </w:p>
        </w:tc>
        <w:tc>
          <w:tcPr>
            <w:tcW w:w="60" w:type="dxa"/>
            <w:tcBorders/>
            <w:vAlign w:val="center"/>
          </w:tcPr>
          <w:p>
            <w:pPr>
              <w:pStyle w:val="TableContents"/>
              <w:bidi w:val="0"/>
              <w:spacing w:before="0" w:after="283"/>
              <w:jc w:val="left"/>
              <w:rPr/>
            </w:pPr>
            <w:r>
              <w:rPr/>
              <w:t> </w:t>
            </w:r>
          </w:p>
        </w:tc>
        <w:tc>
          <w:tcPr>
            <w:tcW w:w="1114" w:type="dxa"/>
            <w:gridSpan w:val="3"/>
            <w:tcBorders/>
            <w:vAlign w:val="center"/>
          </w:tcPr>
          <w:p>
            <w:pPr>
              <w:pStyle w:val="TableContents"/>
              <w:bidi w:val="0"/>
              <w:spacing w:before="0" w:after="283"/>
              <w:jc w:val="center"/>
              <w:rPr>
                <w:b/>
              </w:rPr>
            </w:pPr>
            <w:r>
              <w:rPr>
                <w:b/>
              </w:rPr>
              <w:t>of Total</w:t>
            </w:r>
          </w:p>
        </w:tc>
        <w:tc>
          <w:tcPr>
            <w:tcW w:w="60" w:type="dxa"/>
            <w:tcBorders/>
            <w:vAlign w:val="center"/>
          </w:tcPr>
          <w:p>
            <w:pPr>
              <w:pStyle w:val="TableContents"/>
              <w:bidi w:val="0"/>
              <w:spacing w:before="0" w:after="283"/>
              <w:jc w:val="left"/>
              <w:rPr/>
            </w:pPr>
            <w:r>
              <w:rPr/>
              <w:t> </w:t>
            </w:r>
          </w:p>
        </w:tc>
        <w:tc>
          <w:tcPr>
            <w:tcW w:w="1195" w:type="dxa"/>
            <w:gridSpan w:val="3"/>
            <w:tcBorders/>
            <w:vAlign w:val="center"/>
          </w:tcPr>
          <w:p>
            <w:pPr>
              <w:pStyle w:val="TableContents"/>
              <w:bidi w:val="0"/>
              <w:spacing w:before="0" w:after="283"/>
              <w:jc w:val="center"/>
              <w:rPr>
                <w:b/>
              </w:rPr>
            </w:pPr>
            <w:r>
              <w:rPr>
                <w:b/>
              </w:rPr>
              <w:t>Amount</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11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Allocated</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3"/>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97" w:name="xdx_98A_eus-gaap--FairValueAdjustmentOfW"/>
            <w:bookmarkEnd w:id="497"/>
          </w:p>
        </w:tc>
        <w:tc>
          <w:tcPr>
            <w:tcW w:w="980" w:type="dxa"/>
            <w:tcBorders/>
            <w:shd w:fill="CCEEFF" w:val="clear"/>
            <w:vAlign w:val="center"/>
          </w:tcPr>
          <w:p>
            <w:pPr>
              <w:pStyle w:val="TableContents"/>
              <w:bidi w:val="0"/>
              <w:spacing w:before="0" w:after="283"/>
              <w:jc w:val="right"/>
              <w:rPr/>
            </w:pPr>
            <w:r>
              <w:rPr/>
              <w:t>993,472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bookmarkStart w:id="498" w:name="xdx_986_ecustom--EquityFairValuePercenta"/>
            <w:bookmarkEnd w:id="498"/>
          </w:p>
        </w:tc>
        <w:tc>
          <w:tcPr>
            <w:tcW w:w="747" w:type="dxa"/>
            <w:tcBorders/>
            <w:shd w:fill="CCEEFF" w:val="clear"/>
            <w:vAlign w:val="center"/>
          </w:tcPr>
          <w:p>
            <w:pPr>
              <w:pStyle w:val="TableContents"/>
              <w:bidi w:val="0"/>
              <w:spacing w:before="0" w:after="283"/>
              <w:jc w:val="right"/>
              <w:rPr/>
            </w:pPr>
            <w:r>
              <w:rPr/>
              <w:t>10.6</w:t>
            </w:r>
          </w:p>
        </w:tc>
        <w:tc>
          <w:tcPr>
            <w:tcW w:w="28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99" w:name="xdx_98C_ecustom--AmountAllocated_c202401"/>
            <w:bookmarkEnd w:id="499"/>
          </w:p>
        </w:tc>
        <w:tc>
          <w:tcPr>
            <w:tcW w:w="980" w:type="dxa"/>
            <w:tcBorders/>
            <w:shd w:fill="CCEEFF" w:val="clear"/>
            <w:vAlign w:val="center"/>
          </w:tcPr>
          <w:p>
            <w:pPr>
              <w:pStyle w:val="TableContents"/>
              <w:bidi w:val="0"/>
              <w:spacing w:before="0" w:after="283"/>
              <w:jc w:val="right"/>
              <w:rPr/>
            </w:pPr>
            <w:r>
              <w:rPr/>
              <w:t>423,945</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00" w:name="xdx_983_eus-gaap--FairValueAdjustmentOfW"/>
            <w:bookmarkEnd w:id="500"/>
          </w:p>
        </w:tc>
        <w:tc>
          <w:tcPr>
            <w:tcW w:w="980" w:type="dxa"/>
            <w:tcBorders/>
            <w:shd w:fill="FFFFFF" w:val="clear"/>
            <w:vAlign w:val="center"/>
          </w:tcPr>
          <w:p>
            <w:pPr>
              <w:pStyle w:val="TableContents"/>
              <w:bidi w:val="0"/>
              <w:spacing w:before="0" w:after="283"/>
              <w:jc w:val="right"/>
              <w:rPr/>
            </w:pPr>
            <w:r>
              <w:rPr/>
              <w:t>3,006,003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bookmarkStart w:id="501" w:name="xdx_983_ecustom--EquityFairValuePercenta"/>
            <w:bookmarkEnd w:id="501"/>
          </w:p>
        </w:tc>
        <w:tc>
          <w:tcPr>
            <w:tcW w:w="747" w:type="dxa"/>
            <w:tcBorders/>
            <w:shd w:fill="FFFFFF" w:val="clear"/>
            <w:vAlign w:val="center"/>
          </w:tcPr>
          <w:p>
            <w:pPr>
              <w:pStyle w:val="TableContents"/>
              <w:bidi w:val="0"/>
              <w:spacing w:before="0" w:after="283"/>
              <w:jc w:val="right"/>
              <w:rPr/>
            </w:pPr>
            <w:r>
              <w:rPr/>
              <w:t>32.0</w:t>
            </w:r>
          </w:p>
        </w:tc>
        <w:tc>
          <w:tcPr>
            <w:tcW w:w="28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02" w:name="xdx_981_ecustom--AmountAllocated_c202401"/>
            <w:bookmarkEnd w:id="502"/>
          </w:p>
        </w:tc>
        <w:tc>
          <w:tcPr>
            <w:tcW w:w="980" w:type="dxa"/>
            <w:tcBorders/>
            <w:shd w:fill="FFFFFF" w:val="clear"/>
            <w:vAlign w:val="center"/>
          </w:tcPr>
          <w:p>
            <w:pPr>
              <w:pStyle w:val="TableContents"/>
              <w:bidi w:val="0"/>
              <w:spacing w:before="0" w:after="283"/>
              <w:jc w:val="right"/>
              <w:rPr/>
            </w:pPr>
            <w:r>
              <w:rPr/>
              <w:t>1,279,833</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Series A, B and Placement Agent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3" w:name="xdx_982_eus-gaap--FairValueAdjustmentOfW"/>
            <w:bookmarkEnd w:id="50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5,388,376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4" w:name="xdx_986_ecustom--EquityFairValuePercenta"/>
            <w:bookmarkEnd w:id="504"/>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pPr>
            <w:r>
              <w:rPr/>
              <w:t>57.4</w:t>
            </w:r>
          </w:p>
        </w:tc>
        <w:tc>
          <w:tcPr>
            <w:tcW w:w="28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5" w:name="xdx_981_ecustom--AmountAllocated_c202401"/>
            <w:bookmarkEnd w:id="50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2,295,701</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6" w:name="xdx_983_eus-gaap--FairValueAdjustmentOfW"/>
            <w:bookmarkEnd w:id="50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9,387,851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07" w:name="xdx_984_ecustom--EquityFairValuePercenta"/>
            <w:bookmarkEnd w:id="507"/>
          </w:p>
        </w:tc>
        <w:tc>
          <w:tcPr>
            <w:tcW w:w="747" w:type="dxa"/>
            <w:tcBorders>
              <w:bottom w:val="double" w:sz="6" w:space="0" w:color="000000"/>
            </w:tcBorders>
            <w:shd w:fill="FFFFFF" w:val="clear"/>
            <w:tcMar>
              <w:bottom w:w="28" w:type="dxa"/>
            </w:tcMar>
            <w:vAlign w:val="center"/>
          </w:tcPr>
          <w:p>
            <w:pPr>
              <w:pStyle w:val="TableContents"/>
              <w:bidi w:val="0"/>
              <w:spacing w:before="0" w:after="283"/>
              <w:jc w:val="right"/>
              <w:rPr/>
            </w:pPr>
            <w:r>
              <w:rPr/>
              <w:t>100.0</w:t>
            </w:r>
          </w:p>
        </w:tc>
        <w:tc>
          <w:tcPr>
            <w:tcW w:w="28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08" w:name="xdx_98A_ecustom--AmountAllocated_c202401"/>
            <w:bookmarkEnd w:id="50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3,999,479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09" w:name="xdx_8A0_z7G8KVUJqbz3"/>
      <w:bookmarkEnd w:id="509"/>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February 2024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w:t>
      </w:r>
      <w:bookmarkStart w:id="510" w:name="xdx_90C_eus-gaap--ClassOfWarrantOrRightN"/>
      <w:bookmarkEnd w:id="510"/>
      <w:r>
        <w:rPr>
          <w:rFonts w:ascii="Times New Roman;Times;Serif" w:hAnsi="Times New Roman;Times;Serif"/>
          <w:b w:val="false"/>
          <w:i w:val="false"/>
          <w:caps w:val="false"/>
          <w:smallCaps w:val="false"/>
          <w:sz w:val="20"/>
        </w:rPr>
        <w:t xml:space="preserve">312,500 shares of common stock and pre-funded warrants issued in the February 2024 Offering, the Company issued Series A warrants to purchase up to </w:t>
      </w:r>
      <w:bookmarkStart w:id="511" w:name="xdx_90C_eus-gaap--ClassOfWarrantOrRightN"/>
      <w:bookmarkEnd w:id="511"/>
      <w:r>
        <w:rPr>
          <w:rFonts w:ascii="Times New Roman;Times;Serif" w:hAnsi="Times New Roman;Times;Serif"/>
          <w:b w:val="false"/>
          <w:i w:val="false"/>
          <w:caps w:val="false"/>
          <w:smallCaps w:val="false"/>
          <w:sz w:val="20"/>
        </w:rPr>
        <w:t xml:space="preserve">312,500 shares of common stock and Series B warrants to purchase up to </w:t>
      </w:r>
      <w:bookmarkStart w:id="512" w:name="xdx_90D_eus-gaap--ClassOfWarrantOrRightN"/>
      <w:bookmarkEnd w:id="512"/>
      <w:r>
        <w:rPr>
          <w:rFonts w:ascii="Times New Roman;Times;Serif" w:hAnsi="Times New Roman;Times;Serif"/>
          <w:b w:val="false"/>
          <w:i w:val="false"/>
          <w:caps w:val="false"/>
          <w:smallCaps w:val="false"/>
          <w:sz w:val="20"/>
        </w:rPr>
        <w:t>156,250 shares of common stock. The Series A and Series B warrants have an exercise price of $</w:t>
      </w:r>
      <w:bookmarkStart w:id="513" w:name="xdx_906_eus-gaap--ClassOfWarrantOrRightE"/>
      <w:bookmarkEnd w:id="513"/>
      <w:r>
        <w:rPr>
          <w:rFonts w:ascii="Times New Roman;Times;Serif" w:hAnsi="Times New Roman;Times;Serif"/>
          <w:b w:val="false"/>
          <w:i w:val="false"/>
          <w:caps w:val="false"/>
          <w:smallCaps w:val="false"/>
          <w:sz w:val="20"/>
        </w:rPr>
        <w:t xml:space="preserve">24.00 per share and became exercisable immediately. The Series A warrants have a </w:t>
      </w:r>
      <w:bookmarkStart w:id="514" w:name="xdx_906_eus-gaap--SharebasedCompensation"/>
      <w:bookmarkEnd w:id="514"/>
      <w:r>
        <w:rPr>
          <w:rFonts w:ascii="Times New Roman;Times;Serif" w:hAnsi="Times New Roman;Times;Serif"/>
          <w:b w:val="false"/>
          <w:i w:val="false"/>
          <w:caps w:val="false"/>
          <w:smallCaps w:val="false"/>
          <w:sz w:val="20"/>
        </w:rPr>
        <w:t>five-year term and the Series B warrants have a</w:t>
      </w:r>
      <w:bookmarkStart w:id="515" w:name="xdx_905_eus-gaap--SharebasedCompensation"/>
      <w:bookmarkEnd w:id="515"/>
      <w:r>
        <w:rPr>
          <w:rFonts w:ascii="Times New Roman;Times;Serif" w:hAnsi="Times New Roman;Times;Serif"/>
          <w:b w:val="false"/>
          <w:i w:val="false"/>
          <w:caps w:val="false"/>
          <w:smallCaps w:val="false"/>
          <w:sz w:val="20"/>
        </w:rPr>
        <w:t xml:space="preserve"> two-year term from the initial exercise date of February 5, 2024.</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pre-funded warrants and the Series A and B warrants for liability or equity classification in accordance with the provisions of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and determined that equity treatment was appropriate. The Company valued the pre-funded warrants to purchase </w:t>
      </w:r>
      <w:bookmarkStart w:id="516" w:name="xdx_90D_eus-gaap--ClassOfWarrantOrRightO"/>
      <w:bookmarkEnd w:id="516"/>
      <w:r>
        <w:rPr>
          <w:rFonts w:ascii="Times New Roman;Times;Serif" w:hAnsi="Times New Roman;Times;Serif"/>
          <w:b w:val="false"/>
          <w:i w:val="false"/>
          <w:caps w:val="false"/>
          <w:smallCaps w:val="false"/>
          <w:sz w:val="20"/>
        </w:rPr>
        <w:t>197,917 shares of common stock based on their issuance date fair value of $</w:t>
      </w:r>
      <w:bookmarkStart w:id="517" w:name="xdx_90D_eus-gaap--ClassOfWarrantOrRightE"/>
      <w:bookmarkEnd w:id="517"/>
      <w:r>
        <w:rPr>
          <w:rFonts w:ascii="Times New Roman;Times;Serif" w:hAnsi="Times New Roman;Times;Serif"/>
          <w:b w:val="false"/>
          <w:i w:val="false"/>
          <w:caps w:val="false"/>
          <w:smallCaps w:val="false"/>
          <w:sz w:val="20"/>
        </w:rPr>
        <w:t>24.00. As of December 31, 2024, all of the pre-funded warrants had been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February 2024 Offering, the Company issued placement agent warrants to purchase up to </w:t>
      </w:r>
      <w:bookmarkStart w:id="518" w:name="xdx_909_eus-gaap--ClassOfWarrantOrRightO"/>
      <w:bookmarkEnd w:id="518"/>
      <w:r>
        <w:rPr>
          <w:rFonts w:ascii="Times New Roman;Times;Serif" w:hAnsi="Times New Roman;Times;Serif"/>
          <w:b w:val="false"/>
          <w:i w:val="false"/>
          <w:caps w:val="false"/>
          <w:smallCaps w:val="false"/>
          <w:sz w:val="20"/>
        </w:rPr>
        <w:t>12,500 shares of common stock. The placement agent warrants have an exercise price of $</w:t>
      </w:r>
      <w:bookmarkStart w:id="519" w:name="xdx_90C_eus-gaap--ClassOfWarrantOrRightE"/>
      <w:bookmarkEnd w:id="519"/>
      <w:r>
        <w:rPr>
          <w:rFonts w:ascii="Times New Roman;Times;Serif" w:hAnsi="Times New Roman;Times;Serif"/>
          <w:b w:val="false"/>
          <w:i w:val="false"/>
          <w:caps w:val="false"/>
          <w:smallCaps w:val="false"/>
          <w:sz w:val="20"/>
        </w:rPr>
        <w:t xml:space="preserve">30.00 per share. These warrants have a </w:t>
      </w:r>
      <w:bookmarkStart w:id="520" w:name="xdx_907_eus-gaap--SharebasedCompensation"/>
      <w:bookmarkEnd w:id="520"/>
      <w:r>
        <w:rPr>
          <w:rFonts w:ascii="Times New Roman;Times;Serif" w:hAnsi="Times New Roman;Times;Serif"/>
          <w:b w:val="false"/>
          <w:i w:val="false"/>
          <w:caps w:val="false"/>
          <w:smallCaps w:val="false"/>
          <w:sz w:val="20"/>
        </w:rPr>
        <w:t>five-year term ending February 2, 2029.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A, Series B and placement agent warrants issued in the September 2023 Offering and the February 2024 Offering were valued using a Black-Scholes model with a risk-free rate of </w:t>
      </w:r>
      <w:bookmarkStart w:id="521" w:name="xdx_90D_eus-gaap--WarrantsAndRightsOutst"/>
      <w:bookmarkEnd w:id="521"/>
      <w:r>
        <w:rPr>
          <w:rFonts w:ascii="Times New Roman;Times;Serif" w:hAnsi="Times New Roman;Times;Serif"/>
          <w:b w:val="false"/>
          <w:i w:val="false"/>
          <w:caps w:val="false"/>
          <w:smallCaps w:val="false"/>
          <w:sz w:val="20"/>
        </w:rPr>
        <w:t>4.5%-</w:t>
      </w:r>
      <w:bookmarkStart w:id="522" w:name="xdx_903_eus-gaap--WarrantsAndRightsOutst"/>
      <w:bookmarkEnd w:id="522"/>
      <w:r>
        <w:rPr>
          <w:rFonts w:ascii="Times New Roman;Times;Serif" w:hAnsi="Times New Roman;Times;Serif"/>
          <w:b w:val="false"/>
          <w:i w:val="false"/>
          <w:caps w:val="false"/>
          <w:smallCaps w:val="false"/>
          <w:sz w:val="20"/>
        </w:rPr>
        <w:t xml:space="preserve">5.3%, the respective terms of </w:t>
      </w:r>
      <w:bookmarkStart w:id="523" w:name="xdx_909_eus-gaap--SharebasedCompensation"/>
      <w:bookmarkEnd w:id="523"/>
      <w:r>
        <w:rPr>
          <w:rFonts w:ascii="Times New Roman;Times;Serif" w:hAnsi="Times New Roman;Times;Serif"/>
          <w:b w:val="false"/>
          <w:i w:val="false"/>
          <w:caps w:val="false"/>
          <w:smallCaps w:val="false"/>
          <w:sz w:val="20"/>
        </w:rPr>
        <w:t xml:space="preserve">five and </w:t>
      </w:r>
      <w:bookmarkStart w:id="524" w:name="xdx_90C_eus-gaap--SharebasedCompensation"/>
      <w:bookmarkEnd w:id="524"/>
      <w:r>
        <w:rPr>
          <w:rFonts w:ascii="Times New Roman;Times;Serif" w:hAnsi="Times New Roman;Times;Serif"/>
          <w:b w:val="false"/>
          <w:i w:val="false"/>
          <w:caps w:val="false"/>
          <w:smallCaps w:val="false"/>
          <w:sz w:val="20"/>
        </w:rPr>
        <w:t xml:space="preserve">two years, and a volatility of </w:t>
      </w:r>
      <w:bookmarkStart w:id="525" w:name="xdx_908_eus-gaap--WarrantsAndRightsOutst"/>
      <w:bookmarkEnd w:id="525"/>
      <w:r>
        <w:rPr>
          <w:rFonts w:ascii="Times New Roman;Times;Serif" w:hAnsi="Times New Roman;Times;Serif"/>
          <w:b w:val="false"/>
          <w:i w:val="false"/>
          <w:caps w:val="false"/>
          <w:smallCaps w:val="false"/>
          <w:sz w:val="20"/>
        </w:rPr>
        <w:t>1.29-</w:t>
      </w:r>
      <w:bookmarkStart w:id="526" w:name="xdx_90D_eus-gaap--WarrantsAndRightsOutst"/>
      <w:bookmarkEnd w:id="526"/>
      <w:r>
        <w:rPr>
          <w:rFonts w:ascii="Times New Roman;Times;Serif" w:hAnsi="Times New Roman;Times;Serif"/>
          <w:b w:val="false"/>
          <w:i w:val="false"/>
          <w:caps w:val="false"/>
          <w:smallCaps w:val="false"/>
          <w:sz w:val="20"/>
        </w:rPr>
        <w:t>1.32. The estimated volatility of the Company’s common stock at the date of measurement is based on an average historical stock price volatility of comparable public companies within the biotechnology and pharmaceutical industry that were deemed to be representative of future stock price trends as the Company does not have sufficient trading history for its common stock. The risk-free rate is based on the expected term of the warrants based on the constant maturity of U.S. Treasury securities with similar maturities as of the date of grant. The expected term has been estimated using the contractual term of the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of the February 2024 public offering was allocated to the common stock and common stock purchase warrants using the relative fair value method shown as follows. Fair value of the warrants was recorded to Additional Paid-in-Capital on the Company’s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7" w:name="xdx_302_134_zslVzr1Q6eWf"/>
      <w:bookmarkStart w:id="528" w:name="xdx_302_134_zslVzr1Q6eWf"/>
      <w:bookmarkEnd w:id="528"/>
    </w:p>
    <w:tbl>
      <w:tblPr>
        <w:tblW w:w="8134" w:type="dxa"/>
        <w:jc w:val="left"/>
        <w:tblInd w:w="0" w:type="dxa"/>
        <w:tblLayout w:type="fixed"/>
        <w:tblCellMar>
          <w:top w:w="0" w:type="dxa"/>
          <w:left w:w="0" w:type="dxa"/>
          <w:bottom w:w="0" w:type="dxa"/>
          <w:right w:w="0" w:type="dxa"/>
        </w:tblCellMar>
      </w:tblPr>
      <w:tblGrid>
        <w:gridCol w:w="4130"/>
        <w:gridCol w:w="60"/>
        <w:gridCol w:w="140"/>
        <w:gridCol w:w="1100"/>
        <w:gridCol w:w="60"/>
        <w:gridCol w:w="60"/>
        <w:gridCol w:w="106"/>
        <w:gridCol w:w="1008"/>
        <w:gridCol w:w="215"/>
        <w:gridCol w:w="60"/>
        <w:gridCol w:w="140"/>
        <w:gridCol w:w="980"/>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of Total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Allocated</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9" w:name="xdx_989_eus-gaap--FairValueAdjustmentOfW"/>
            <w:bookmarkEnd w:id="52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bookmarkStart w:id="530" w:name="xdx_980_ecustom--EquityFairValuePercenta"/>
            <w:bookmarkEnd w:id="530"/>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1" w:name="xdx_98F_ecustom--AmountAllocated_c202401"/>
            <w:bookmarkEnd w:id="53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1,987,500</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2" w:name="xdx_988_eus-gaap--FairValueAdjustmentOfW"/>
            <w:bookmarkEnd w:id="53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bookmarkStart w:id="533" w:name="xdx_98F_ecustom--EquityFairValuePercenta"/>
            <w:bookmarkEnd w:id="533"/>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34" w:name="xdx_980_ecustom--AmountAllocated_c202401"/>
            <w:bookmarkEnd w:id="53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3,435,000</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B and Placement Agent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5" w:name="xdx_980_eus-gaap--FairValueAdjustmentOfW"/>
            <w:bookmarkEnd w:id="53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2,878,123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6" w:name="xdx_98B_ecustom--EquityFairValuePercenta"/>
            <w:bookmarkEnd w:id="536"/>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7" w:name="xdx_98C_ecustom--AmountAllocated_c202401"/>
            <w:bookmarkEnd w:id="537"/>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2,077,500</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8" w:name="xdx_986_eus-gaap--FairValueAdjustmentOfW"/>
            <w:bookmarkEnd w:id="53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10,378,123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39" w:name="xdx_982_ecustom--EquityFairValuePercenta"/>
            <w:bookmarkEnd w:id="539"/>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0" w:name="xdx_982_ecustom--AmountAllocated_c202401"/>
            <w:bookmarkEnd w:id="54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541" w:name="xdx_C04_gL3SOFVOWTAPI-KCWLF_zcODdtbaxwX1"/>
      <w:bookmarkEnd w:id="54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Series A and Series B warrants issued in connection with the February 2024 Offering were exercised as part of the June 2024 Warrant Inducement as described in Note 10. Series C and Series D warrants were issued as part of the June 2024 Warrant Inducement, which closed on July 1, 2024. The Series C and Series D warrants have an exercise price of $</w:t>
      </w:r>
      <w:bookmarkStart w:id="542" w:name="xdx_906_eus-gaap--ClassOfWarrantOrRightE"/>
      <w:bookmarkEnd w:id="542"/>
      <w:r>
        <w:rPr>
          <w:rFonts w:ascii="Times New Roman;Times;Serif" w:hAnsi="Times New Roman;Times;Serif"/>
          <w:b w:val="false"/>
          <w:i w:val="false"/>
          <w:caps w:val="false"/>
          <w:smallCaps w:val="false"/>
          <w:sz w:val="20"/>
        </w:rPr>
        <w:t>7.02 per share and became exercisable on the effective date of stockholder approval of the shares issuable pursuant to the warrants. The Series C warrants have a five-year term and the Series D warrants have a two-year term from the initial exercise date of August 28, 2024.</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543" w:name="xdx_896_eus-gaap--ScheduleOfStockholders"/>
      <w:bookmarkEnd w:id="543"/>
      <w:r>
        <w:rPr>
          <w:rFonts w:ascii="Times New Roman;Times;Serif" w:hAnsi="Times New Roman;Times;Serif"/>
          <w:b w:val="false"/>
          <w:i w:val="false"/>
          <w:caps w:val="false"/>
          <w:smallCaps w:val="false"/>
          <w:sz w:val="20"/>
        </w:rPr>
        <w:t>The following table summarizes the Company’s outstanding common stock purchase warrants as of December 31, 2024:</w:t>
      </w:r>
    </w:p>
    <w:p>
      <w:pPr>
        <w:pStyle w:val="TextBody"/>
        <w:bidi w:val="0"/>
        <w:jc w:val="left"/>
        <w:rPr>
          <w:rFonts w:ascii="Times New Roman;Times;Serif" w:hAnsi="Times New Roman;Times;Serif"/>
          <w:b w:val="false"/>
          <w:i w:val="false"/>
          <w:caps w:val="false"/>
          <w:smallCaps w:val="false"/>
          <w:sz w:val="20"/>
        </w:rPr>
      </w:pPr>
      <w:bookmarkStart w:id="544" w:name="xdx_8BC_zbqKyDuNTTtc"/>
      <w:bookmarkEnd w:id="544"/>
      <w:r>
        <w:rPr>
          <w:rFonts w:ascii="Times New Roman;Times;Serif" w:hAnsi="Times New Roman;Times;Serif"/>
          <w:b w:val="false"/>
          <w:i w:val="false"/>
          <w:caps w:val="false"/>
          <w:smallCaps w:val="false"/>
          <w:sz w:val="20"/>
        </w:rPr>
        <w:t>Schedule of Warrants and Rights Outstanding  </w:t>
      </w:r>
    </w:p>
    <w:tbl>
      <w:tblPr>
        <w:tblW w:w="10205" w:type="dxa"/>
        <w:jc w:val="left"/>
        <w:tblInd w:w="0" w:type="dxa"/>
        <w:tblLayout w:type="fixed"/>
        <w:tblCellMar>
          <w:top w:w="0" w:type="dxa"/>
          <w:left w:w="0" w:type="dxa"/>
          <w:bottom w:w="0" w:type="dxa"/>
          <w:right w:w="0" w:type="dxa"/>
        </w:tblCellMar>
      </w:tblPr>
      <w:tblGrid>
        <w:gridCol w:w="4751"/>
        <w:gridCol w:w="60"/>
        <w:gridCol w:w="78"/>
        <w:gridCol w:w="1046"/>
        <w:gridCol w:w="60"/>
        <w:gridCol w:w="60"/>
        <w:gridCol w:w="140"/>
        <w:gridCol w:w="860"/>
        <w:gridCol w:w="60"/>
        <w:gridCol w:w="60"/>
        <w:gridCol w:w="197"/>
        <w:gridCol w:w="1214"/>
        <w:gridCol w:w="60"/>
        <w:gridCol w:w="60"/>
        <w:gridCol w:w="160"/>
        <w:gridCol w:w="1261"/>
        <w:gridCol w:w="78"/>
      </w:tblGrid>
      <w:tr>
        <w:trPr/>
        <w:tc>
          <w:tcPr>
            <w:tcW w:w="4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Issuance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Issuance Date</w:t>
            </w:r>
          </w:p>
        </w:tc>
        <w:tc>
          <w:tcPr>
            <w:tcW w:w="78" w:type="dxa"/>
            <w:tcBorders/>
            <w:vAlign w:val="center"/>
          </w:tcPr>
          <w:p>
            <w:pPr>
              <w:pStyle w:val="TableContents"/>
              <w:bidi w:val="0"/>
              <w:spacing w:before="0" w:after="283"/>
              <w:jc w:val="left"/>
              <w:rPr/>
            </w:pPr>
            <w:r>
              <w:rPr/>
              <w:t> </w:t>
            </w:r>
          </w:p>
        </w:tc>
      </w:tr>
      <w:tr>
        <w:trPr/>
        <w:tc>
          <w:tcPr>
            <w:tcW w:w="4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8" w:type="dxa"/>
            <w:tcBorders/>
            <w:vAlign w:val="center"/>
          </w:tcPr>
          <w:p>
            <w:pPr>
              <w:pStyle w:val="TableContents"/>
              <w:bidi w:val="0"/>
              <w:spacing w:before="0" w:after="283"/>
              <w:jc w:val="left"/>
              <w:rPr/>
            </w:pPr>
            <w:r>
              <w:rPr/>
              <w:t> </w:t>
            </w:r>
          </w:p>
        </w:tc>
      </w:tr>
      <w:tr>
        <w:trPr/>
        <w:tc>
          <w:tcPr>
            <w:tcW w:w="4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8" w:type="dxa"/>
            <w:tcBorders/>
            <w:vAlign w:val="center"/>
          </w:tcPr>
          <w:p>
            <w:pPr>
              <w:pStyle w:val="TableContents"/>
              <w:bidi w:val="0"/>
              <w:spacing w:before="0" w:after="283"/>
              <w:jc w:val="left"/>
              <w:rPr/>
            </w:pPr>
            <w:r>
              <w:rPr/>
              <w:t> </w:t>
            </w:r>
          </w:p>
        </w:tc>
      </w:tr>
      <w:tr>
        <w:trPr/>
        <w:tc>
          <w:tcPr>
            <w:tcW w:w="4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2021 Initial Public Offering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45" w:name="xdx_982_eus-gaap--ClassOfWarrantOrRightO"/>
            <w:bookmarkEnd w:id="545"/>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6" w:name="xdx_98A_eus-gaap--ClassOfWarrantOrRightE"/>
            <w:bookmarkEnd w:id="546"/>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7" w:name="xdx_982_ecustom--ClassOfWarrantOrRightFa"/>
            <w:bookmarkEnd w:id="547"/>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8" w:name="xdx_980_eus-gaap--WarrantsAndRightsOutst"/>
            <w:bookmarkEnd w:id="548"/>
          </w:p>
        </w:tc>
        <w:tc>
          <w:tcPr>
            <w:tcW w:w="12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22,855,932</w:t>
            </w:r>
          </w:p>
        </w:tc>
        <w:tc>
          <w:tcPr>
            <w:tcW w:w="78" w:type="dxa"/>
            <w:tcBorders/>
            <w:shd w:fill="CCEEFF" w:val="clear"/>
            <w:vAlign w:val="center"/>
          </w:tcPr>
          <w:p>
            <w:pPr>
              <w:pStyle w:val="TableContents"/>
              <w:bidi w:val="0"/>
              <w:spacing w:before="0" w:after="283"/>
              <w:jc w:val="left"/>
              <w:rPr/>
            </w:pPr>
            <w:r>
              <w:rPr/>
              <w:t> </w:t>
            </w:r>
          </w:p>
        </w:tc>
      </w:tr>
      <w:tr>
        <w:trPr/>
        <w:tc>
          <w:tcPr>
            <w:tcW w:w="4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2021 Underwriter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49" w:name="xdx_98F_eus-gaap--ClassOfWarrantOrRightO"/>
            <w:bookmarkEnd w:id="549"/>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0" w:name="xdx_988_eus-gaap--ClassOfWarrantOrRightE"/>
            <w:bookmarkEnd w:id="550"/>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1" w:name="xdx_985_ecustom--ClassOfWarrantOrRightFa"/>
            <w:bookmarkEnd w:id="551"/>
          </w:p>
        </w:tc>
        <w:tc>
          <w:tcPr>
            <w:tcW w:w="12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52" w:name="xdx_98F_eus-gaap--WarrantsAndRightsOutst"/>
            <w:bookmarkEnd w:id="552"/>
          </w:p>
        </w:tc>
        <w:tc>
          <w:tcPr>
            <w:tcW w:w="12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966,501</w:t>
            </w:r>
          </w:p>
        </w:tc>
        <w:tc>
          <w:tcPr>
            <w:tcW w:w="78" w:type="dxa"/>
            <w:tcBorders/>
            <w:shd w:fill="FFFFFF" w:val="clear"/>
            <w:vAlign w:val="center"/>
          </w:tcPr>
          <w:p>
            <w:pPr>
              <w:pStyle w:val="TableContents"/>
              <w:bidi w:val="0"/>
              <w:spacing w:before="0" w:after="283"/>
              <w:jc w:val="left"/>
              <w:rPr/>
            </w:pPr>
            <w:r>
              <w:rPr/>
              <w:t> </w:t>
            </w:r>
          </w:p>
        </w:tc>
      </w:tr>
      <w:tr>
        <w:trPr/>
        <w:tc>
          <w:tcPr>
            <w:tcW w:w="4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2023 Public Offering Series A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53" w:name="xdx_98B_eus-gaap--ClassOfWarrantOrRightO"/>
            <w:bookmarkEnd w:id="553"/>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4" w:name="xdx_98A_eus-gaap--ClassOfWarrantOrRightE"/>
            <w:bookmarkEnd w:id="554"/>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5" w:name="xdx_986_ecustom--ClassOfWarrantOrRightFa"/>
            <w:bookmarkEnd w:id="555"/>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556" w:name="xdx_986_eus-gaap--WarrantsAndRightsOutst"/>
            <w:bookmarkEnd w:id="556"/>
          </w:p>
        </w:tc>
        <w:tc>
          <w:tcPr>
            <w:tcW w:w="12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3,746,533</w:t>
            </w:r>
          </w:p>
        </w:tc>
        <w:tc>
          <w:tcPr>
            <w:tcW w:w="78" w:type="dxa"/>
            <w:tcBorders/>
            <w:shd w:fill="CCEEFF" w:val="clear"/>
            <w:vAlign w:val="center"/>
          </w:tcPr>
          <w:p>
            <w:pPr>
              <w:pStyle w:val="TableContents"/>
              <w:bidi w:val="0"/>
              <w:spacing w:before="0" w:after="283"/>
              <w:jc w:val="left"/>
              <w:rPr/>
            </w:pPr>
            <w:r>
              <w:rPr/>
              <w:t> </w:t>
            </w:r>
          </w:p>
        </w:tc>
      </w:tr>
      <w:tr>
        <w:trPr/>
        <w:tc>
          <w:tcPr>
            <w:tcW w:w="4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2023 Public Offering Series B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57" w:name="xdx_98F_eus-gaap--ClassOfWarrantOrRightO"/>
            <w:bookmarkEnd w:id="557"/>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8" w:name="xdx_98E_eus-gaap--ClassOfWarrantOrRightE"/>
            <w:bookmarkEnd w:id="558"/>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9" w:name="xdx_980_ecustom--ClassOfWarrantOrRightFa"/>
            <w:bookmarkEnd w:id="559"/>
          </w:p>
        </w:tc>
        <w:tc>
          <w:tcPr>
            <w:tcW w:w="12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60" w:name="xdx_989_eus-gaap--WarrantsAndRightsOutst"/>
            <w:bookmarkEnd w:id="560"/>
          </w:p>
        </w:tc>
        <w:tc>
          <w:tcPr>
            <w:tcW w:w="12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1,457,805</w:t>
            </w:r>
          </w:p>
        </w:tc>
        <w:tc>
          <w:tcPr>
            <w:tcW w:w="78" w:type="dxa"/>
            <w:tcBorders/>
            <w:shd w:fill="FFFFFF" w:val="clear"/>
            <w:vAlign w:val="center"/>
          </w:tcPr>
          <w:p>
            <w:pPr>
              <w:pStyle w:val="TableContents"/>
              <w:bidi w:val="0"/>
              <w:spacing w:before="0" w:after="283"/>
              <w:jc w:val="left"/>
              <w:rPr/>
            </w:pPr>
            <w:r>
              <w:rPr/>
              <w:t> </w:t>
            </w:r>
          </w:p>
        </w:tc>
      </w:tr>
      <w:tr>
        <w:trPr/>
        <w:tc>
          <w:tcPr>
            <w:tcW w:w="4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2023 Placement Agent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61" w:name="xdx_989_eus-gaap--ClassOfWarrantOrRightO"/>
            <w:bookmarkEnd w:id="561"/>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2" w:name="xdx_98C_eus-gaap--ClassOfWarrantOrRightE"/>
            <w:bookmarkEnd w:id="562"/>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3" w:name="xdx_989_ecustom--ClassOfWarrantOrRightFa"/>
            <w:bookmarkEnd w:id="563"/>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564" w:name="xdx_982_eus-gaap--WarrantsAndRightsOutst"/>
            <w:bookmarkEnd w:id="564"/>
          </w:p>
        </w:tc>
        <w:tc>
          <w:tcPr>
            <w:tcW w:w="12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184,069</w:t>
            </w:r>
          </w:p>
        </w:tc>
        <w:tc>
          <w:tcPr>
            <w:tcW w:w="78" w:type="dxa"/>
            <w:tcBorders/>
            <w:shd w:fill="CCEEFF" w:val="clear"/>
            <w:vAlign w:val="center"/>
          </w:tcPr>
          <w:p>
            <w:pPr>
              <w:pStyle w:val="TableContents"/>
              <w:bidi w:val="0"/>
              <w:spacing w:before="0" w:after="283"/>
              <w:jc w:val="left"/>
              <w:rPr/>
            </w:pPr>
            <w:r>
              <w:rPr/>
              <w:t> </w:t>
            </w:r>
          </w:p>
        </w:tc>
      </w:tr>
      <w:tr>
        <w:trPr/>
        <w:tc>
          <w:tcPr>
            <w:tcW w:w="4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2024 Public Offering Series A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65" w:name="xdx_987_eus-gaap--ClassOfWarrantOrRightO"/>
            <w:bookmarkEnd w:id="565"/>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6" w:name="xdx_98E_eus-gaap--ClassOfWarrantOrRightE"/>
            <w:bookmarkEnd w:id="566"/>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7" w:name="xdx_985_ecustom--ClassOfWarrantOrRightFa"/>
            <w:bookmarkEnd w:id="567"/>
          </w:p>
        </w:tc>
        <w:tc>
          <w:tcPr>
            <w:tcW w:w="12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68" w:name="xdx_98D_eus-gaap--WarrantsAndRightsOutst"/>
            <w:bookmarkEnd w:id="568"/>
          </w:p>
        </w:tc>
        <w:tc>
          <w:tcPr>
            <w:tcW w:w="12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1,901,255</w:t>
            </w:r>
          </w:p>
        </w:tc>
        <w:tc>
          <w:tcPr>
            <w:tcW w:w="78" w:type="dxa"/>
            <w:tcBorders/>
            <w:shd w:fill="FFFFFF" w:val="clear"/>
            <w:vAlign w:val="center"/>
          </w:tcPr>
          <w:p>
            <w:pPr>
              <w:pStyle w:val="TableContents"/>
              <w:bidi w:val="0"/>
              <w:spacing w:before="0" w:after="283"/>
              <w:jc w:val="left"/>
              <w:rPr/>
            </w:pPr>
            <w:r>
              <w:rPr/>
              <w:t> </w:t>
            </w:r>
          </w:p>
        </w:tc>
      </w:tr>
      <w:tr>
        <w:trPr/>
        <w:tc>
          <w:tcPr>
            <w:tcW w:w="4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2024 Public Offering Series B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69" w:name="xdx_984_eus-gaap--ClassOfWarrantOrRightO"/>
            <w:bookmarkEnd w:id="569"/>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0" w:name="xdx_98D_eus-gaap--ClassOfWarrantOrRightE"/>
            <w:bookmarkEnd w:id="570"/>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1" w:name="xdx_986_ecustom--ClassOfWarrantOrRightFa"/>
            <w:bookmarkEnd w:id="571"/>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572" w:name="xdx_980_eus-gaap--WarrantsAndRightsOutst"/>
            <w:bookmarkEnd w:id="572"/>
          </w:p>
        </w:tc>
        <w:tc>
          <w:tcPr>
            <w:tcW w:w="12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804,371</w:t>
            </w:r>
          </w:p>
        </w:tc>
        <w:tc>
          <w:tcPr>
            <w:tcW w:w="78" w:type="dxa"/>
            <w:tcBorders/>
            <w:shd w:fill="CCEEFF" w:val="clear"/>
            <w:vAlign w:val="center"/>
          </w:tcPr>
          <w:p>
            <w:pPr>
              <w:pStyle w:val="TableContents"/>
              <w:bidi w:val="0"/>
              <w:spacing w:before="0" w:after="283"/>
              <w:jc w:val="left"/>
              <w:rPr/>
            </w:pPr>
            <w:r>
              <w:rPr/>
              <w:t> </w:t>
            </w:r>
          </w:p>
        </w:tc>
      </w:tr>
      <w:tr>
        <w:trPr/>
        <w:tc>
          <w:tcPr>
            <w:tcW w:w="4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2024 Placement Agent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73" w:name="xdx_983_eus-gaap--ClassOfWarrantOrRightO"/>
            <w:bookmarkEnd w:id="573"/>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4" w:name="xdx_988_eus-gaap--ClassOfWarrantOrRightE"/>
            <w:bookmarkEnd w:id="574"/>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5" w:name="xdx_98F_ecustom--ClassOfWarrantOrRightFa"/>
            <w:bookmarkEnd w:id="575"/>
          </w:p>
        </w:tc>
        <w:tc>
          <w:tcPr>
            <w:tcW w:w="12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76" w:name="xdx_987_eus-gaap--WarrantsAndRightsOutst"/>
            <w:bookmarkEnd w:id="576"/>
          </w:p>
        </w:tc>
        <w:tc>
          <w:tcPr>
            <w:tcW w:w="12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w:t>
            </w:r>
          </w:p>
        </w:tc>
        <w:tc>
          <w:tcPr>
            <w:tcW w:w="78" w:type="dxa"/>
            <w:tcBorders/>
            <w:shd w:fill="FFFFFF" w:val="clear"/>
            <w:vAlign w:val="center"/>
          </w:tcPr>
          <w:p>
            <w:pPr>
              <w:pStyle w:val="TableContents"/>
              <w:bidi w:val="0"/>
              <w:spacing w:before="0" w:after="283"/>
              <w:jc w:val="left"/>
              <w:rPr/>
            </w:pPr>
            <w:r>
              <w:rPr/>
              <w:t> </w:t>
            </w:r>
          </w:p>
        </w:tc>
      </w:tr>
      <w:tr>
        <w:trPr/>
        <w:tc>
          <w:tcPr>
            <w:tcW w:w="4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Series C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77" w:name="xdx_98E_eus-gaap--ClassOfWarrantOrRightO"/>
            <w:bookmarkEnd w:id="577"/>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8" w:name="xdx_986_eus-gaap--ClassOfWarrantOrRightE"/>
            <w:bookmarkEnd w:id="578"/>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9" w:name="xdx_98E_ecustom--ClassOfWarrantOrRightFa"/>
            <w:bookmarkEnd w:id="579"/>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bookmarkStart w:id="580" w:name="xdx_983_eus-gaap--WarrantsAndRightsOutst"/>
            <w:bookmarkEnd w:id="580"/>
          </w:p>
        </w:tc>
        <w:tc>
          <w:tcPr>
            <w:tcW w:w="12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1,147,501</w:t>
            </w:r>
          </w:p>
        </w:tc>
        <w:tc>
          <w:tcPr>
            <w:tcW w:w="78" w:type="dxa"/>
            <w:tcBorders/>
            <w:shd w:fill="CCEEFF" w:val="clear"/>
            <w:vAlign w:val="center"/>
          </w:tcPr>
          <w:p>
            <w:pPr>
              <w:pStyle w:val="TableContents"/>
              <w:bidi w:val="0"/>
              <w:spacing w:before="0" w:after="283"/>
              <w:jc w:val="left"/>
              <w:rPr/>
            </w:pPr>
            <w:r>
              <w:rPr/>
              <w:t> </w:t>
            </w:r>
          </w:p>
        </w:tc>
      </w:tr>
      <w:tr>
        <w:trPr/>
        <w:tc>
          <w:tcPr>
            <w:tcW w:w="4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Series D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81" w:name="xdx_987_eus-gaap--ClassOfWarrantOrRightO"/>
            <w:bookmarkEnd w:id="581"/>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2" w:name="xdx_981_eus-gaap--ClassOfWarrantOrRightE"/>
            <w:bookmarkEnd w:id="582"/>
          </w:p>
        </w:tc>
        <w:tc>
          <w:tcPr>
            <w:tcW w:w="8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3" w:name="xdx_98D_ecustom--ClassOfWarrantOrRightFa"/>
            <w:bookmarkEnd w:id="583"/>
          </w:p>
        </w:tc>
        <w:tc>
          <w:tcPr>
            <w:tcW w:w="12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584" w:name="xdx_981_eus-gaap--WarrantsAndRightsOutst"/>
            <w:bookmarkEnd w:id="584"/>
          </w:p>
        </w:tc>
        <w:tc>
          <w:tcPr>
            <w:tcW w:w="12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424,999</w:t>
            </w:r>
          </w:p>
        </w:tc>
        <w:tc>
          <w:tcPr>
            <w:tcW w:w="78" w:type="dxa"/>
            <w:tcBorders/>
            <w:shd w:fill="FFFFFF" w:val="clear"/>
            <w:vAlign w:val="center"/>
          </w:tcPr>
          <w:p>
            <w:pPr>
              <w:pStyle w:val="TableContents"/>
              <w:bidi w:val="0"/>
              <w:spacing w:before="0" w:after="283"/>
              <w:jc w:val="left"/>
              <w:rPr/>
            </w:pPr>
            <w:r>
              <w:rPr/>
              <w:t> </w:t>
            </w:r>
          </w:p>
        </w:tc>
      </w:tr>
      <w:tr>
        <w:trPr/>
        <w:tc>
          <w:tcPr>
            <w:tcW w:w="4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Placement Agent Warrants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5" w:name="xdx_98A_eus-gaap--ClassOfWarrantOrRightO"/>
            <w:bookmarkEnd w:id="585"/>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6" w:name="xdx_98C_eus-gaap--ClassOfWarrantOrRightE"/>
            <w:bookmarkEnd w:id="586"/>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7" w:name="xdx_986_ecustom--ClassOfWarrantOrRightFa"/>
            <w:bookmarkEnd w:id="587"/>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8" w:name="xdx_982_eus-gaap--WarrantsAndRightsOutst"/>
            <w:bookmarkEnd w:id="588"/>
          </w:p>
        </w:tc>
        <w:tc>
          <w:tcPr>
            <w:tcW w:w="12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47,388</w:t>
            </w:r>
          </w:p>
        </w:tc>
        <w:tc>
          <w:tcPr>
            <w:tcW w:w="78" w:type="dxa"/>
            <w:tcBorders/>
            <w:shd w:fill="CCEEFF" w:val="clear"/>
            <w:vAlign w:val="center"/>
          </w:tcPr>
          <w:p>
            <w:pPr>
              <w:pStyle w:val="TableContents"/>
              <w:bidi w:val="0"/>
              <w:spacing w:before="0" w:after="283"/>
              <w:jc w:val="left"/>
              <w:rPr/>
            </w:pPr>
            <w:r>
              <w:rPr/>
              <w:t> </w:t>
            </w:r>
          </w:p>
        </w:tc>
      </w:tr>
      <w:tr>
        <w:trPr/>
        <w:tc>
          <w:tcPr>
            <w:tcW w:w="4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December 31, 2024</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89" w:name="xdx_98E_eus-gaap--ClassOfWarrantOrRightO"/>
            <w:bookmarkEnd w:id="589"/>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90" w:name="xdx_989_eus-gaap--WarrantsAndRightsOutst"/>
            <w:bookmarkEnd w:id="590"/>
          </w:p>
        </w:tc>
        <w:tc>
          <w:tcPr>
            <w:tcW w:w="12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33,708,854</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91" w:name="xdx_8A3_zL4nldmw1tyk"/>
      <w:bookmarkEnd w:id="591"/>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592" w:name="xdx_80D_eus-gaap--DisclosureOfCompensati"/>
      <w:bookmarkEnd w:id="592"/>
      <w:r>
        <w:rPr>
          <w:rFonts w:ascii="Times New Roman;Times;Serif" w:hAnsi="Times New Roman;Times;Serif"/>
          <w:b/>
          <w:i w:val="false"/>
          <w:caps w:val="false"/>
          <w:smallCaps w:val="false"/>
          <w:sz w:val="20"/>
        </w:rPr>
        <w:t xml:space="preserve">(12) </w:t>
      </w:r>
      <w:bookmarkStart w:id="593" w:name="xdx_824_z0HgEmZUBKob"/>
      <w:bookmarkEnd w:id="593"/>
      <w:r>
        <w:rPr>
          <w:rFonts w:ascii="Times New Roman;Times;Serif" w:hAnsi="Times New Roman;Times;Serif"/>
          <w:b/>
          <w:i w:val="false"/>
          <w:caps w:val="false"/>
          <w:smallCaps w:val="false"/>
          <w:sz w:val="20"/>
        </w:rPr>
        <w:t>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Company’s board of directors and stockholders adopted the 2021 Equity Incentive Plan ( 2021 Plan), which provides for the grant of incentive stock options and non-qualified stock options to purchase shares of the Company’s common stock, stock appreciation rights, restricted stock units, restricted or unrestricted shares of common stock, performance shares, performance units, incentive bonus awards, other stock-based awards and other cash-based awards. No awards may be made under the 2021 Plan on or after September 24, 2031, but the 2021 Plan will continue thereafter while previously granted awards remain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2024 annual meeting, shareholders approved an amendment to the 2021 Plan to increase the number of shares of common stock authorized for issuance thereunder by </w:t>
      </w:r>
      <w:bookmarkStart w:id="594" w:name="xdx_906_eus-gaap--CommonStockSharesAutho"/>
      <w:bookmarkEnd w:id="594"/>
      <w:r>
        <w:rPr>
          <w:rFonts w:ascii="Times New Roman;Times;Serif" w:hAnsi="Times New Roman;Times;Serif"/>
          <w:b w:val="false"/>
          <w:i w:val="false"/>
          <w:caps w:val="false"/>
          <w:smallCaps w:val="false"/>
          <w:sz w:val="20"/>
        </w:rPr>
        <w:t xml:space="preserve">104,167 shares to </w:t>
      </w:r>
      <w:bookmarkStart w:id="595" w:name="xdx_90A_eus-gaap--CommonStockSharesAutho"/>
      <w:bookmarkEnd w:id="595"/>
      <w:r>
        <w:rPr>
          <w:rFonts w:ascii="Times New Roman;Times;Serif" w:hAnsi="Times New Roman;Times;Serif"/>
          <w:b w:val="false"/>
          <w:i w:val="false"/>
          <w:caps w:val="false"/>
          <w:smallCaps w:val="false"/>
          <w:sz w:val="20"/>
        </w:rPr>
        <w:t xml:space="preserve">125,577. As of December 31, 2024, </w:t>
      </w:r>
      <w:bookmarkStart w:id="596" w:name="xdx_906_eus-gaap--CommonStockCapitalShar"/>
      <w:bookmarkEnd w:id="596"/>
      <w:r>
        <w:rPr>
          <w:rFonts w:ascii="Times New Roman;Times;Serif" w:hAnsi="Times New Roman;Times;Serif"/>
          <w:b w:val="false"/>
          <w:i w:val="false"/>
          <w:caps w:val="false"/>
          <w:smallCaps w:val="false"/>
          <w:sz w:val="20"/>
        </w:rPr>
        <w:t xml:space="preserve">36,174 shares of common stock were available for issuance under the 2021 Plan. </w:t>
      </w:r>
      <w:bookmarkStart w:id="597" w:name="xdx_90C_eus-gaap--ShareBasedCompensation"/>
      <w:bookmarkEnd w:id="597"/>
      <w:r>
        <w:rPr>
          <w:rFonts w:ascii="Times New Roman;Times;Serif" w:hAnsi="Times New Roman;Times;Serif"/>
          <w:b w:val="false"/>
          <w:i w:val="false"/>
          <w:caps w:val="false"/>
          <w:smallCaps w:val="false"/>
          <w:sz w:val="20"/>
        </w:rPr>
        <w:t>The number of shares of common stock available for issuance under the 2021 Plan will automatically increase on January 1st of each year until the expiration of the 2021 Plan, in an amount equal to 5% percent of the total number of shares of our common stock outstanding on December 31st of the preceding calendar year, on a fully diluted basis, unless the board of directors takes action prior thereto to provide that there will not be an increase in the share reserve for such year or that the increase in the share reserve for such year will be of a lesser number of shares of common stock than would otherwise occur.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stock-based compensation expense of $</w:t>
      </w:r>
      <w:bookmarkStart w:id="598" w:name="xdx_903_eus-gaap--ShareBasedCompensation"/>
      <w:bookmarkEnd w:id="598"/>
      <w:r>
        <w:rPr>
          <w:rFonts w:ascii="Times New Roman;Times;Serif" w:hAnsi="Times New Roman;Times;Serif"/>
          <w:b w:val="false"/>
          <w:i w:val="false"/>
          <w:caps w:val="false"/>
          <w:smallCaps w:val="false"/>
          <w:sz w:val="20"/>
        </w:rPr>
        <w:t>995,484 and $</w:t>
      </w:r>
      <w:bookmarkStart w:id="599" w:name="xdx_909_eus-gaap--ShareBasedCompensation"/>
      <w:bookmarkEnd w:id="599"/>
      <w:r>
        <w:rPr>
          <w:rFonts w:ascii="Times New Roman;Times;Serif" w:hAnsi="Times New Roman;Times;Serif"/>
          <w:b w:val="false"/>
          <w:i w:val="false"/>
          <w:caps w:val="false"/>
          <w:smallCaps w:val="false"/>
          <w:sz w:val="20"/>
        </w:rPr>
        <w:t>812,670 during the years ended December 31, 2024 and 2023, relating to options issued. As of December 31, 2024 and 2023, there was $</w:t>
      </w:r>
      <w:bookmarkStart w:id="600" w:name="xdx_901_eus-gaap--EmployeeServiceShareBa"/>
      <w:bookmarkEnd w:id="600"/>
      <w:r>
        <w:rPr>
          <w:rFonts w:ascii="Times New Roman;Times;Serif" w:hAnsi="Times New Roman;Times;Serif"/>
          <w:b w:val="false"/>
          <w:i w:val="false"/>
          <w:caps w:val="false"/>
          <w:smallCaps w:val="false"/>
          <w:sz w:val="20"/>
        </w:rPr>
        <w:t>343,612 and $</w:t>
      </w:r>
      <w:bookmarkStart w:id="601" w:name="xdx_901_eus-gaap--EmployeeServiceShareBa"/>
      <w:bookmarkEnd w:id="601"/>
      <w:r>
        <w:rPr>
          <w:rFonts w:ascii="Times New Roman;Times;Serif" w:hAnsi="Times New Roman;Times;Serif"/>
          <w:b w:val="false"/>
          <w:i w:val="false"/>
          <w:caps w:val="false"/>
          <w:smallCaps w:val="false"/>
          <w:sz w:val="20"/>
        </w:rPr>
        <w:t>1,278,981 of unrecognized compensation cost related to nonvested share-based compensation arrangements granted under the 2021 Plan, which is expected to be recognized over the next one to four years.</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02" w:name="xdx_891_eus-gaap--ScheduleOfShareBasedCo"/>
      <w:bookmarkEnd w:id="602"/>
      <w:r>
        <w:rPr>
          <w:rFonts w:ascii="Times New Roman;Times;Serif" w:hAnsi="Times New Roman;Times;Serif"/>
          <w:b w:val="false"/>
          <w:i w:val="false"/>
          <w:caps w:val="false"/>
          <w:smallCaps w:val="false"/>
          <w:sz w:val="20"/>
        </w:rPr>
        <w:t>A summary of option activity under the Plan during the years ended December 31, 2024 and 2023 was as follows:</w:t>
      </w:r>
    </w:p>
    <w:p>
      <w:pPr>
        <w:pStyle w:val="TextBody"/>
        <w:bidi w:val="0"/>
        <w:jc w:val="left"/>
        <w:rPr>
          <w:rFonts w:ascii="Times New Roman;Times;Serif" w:hAnsi="Times New Roman;Times;Serif"/>
          <w:b w:val="false"/>
          <w:i w:val="false"/>
          <w:caps w:val="false"/>
          <w:smallCaps w:val="false"/>
          <w:sz w:val="20"/>
        </w:rPr>
      </w:pPr>
      <w:bookmarkStart w:id="603" w:name="xdx_8B1_zg1NYTVbQ345"/>
      <w:bookmarkEnd w:id="603"/>
      <w:r>
        <w:rPr>
          <w:rFonts w:ascii="Times New Roman;Times;Serif" w:hAnsi="Times New Roman;Times;Serif"/>
          <w:b w:val="false"/>
          <w:i w:val="false"/>
          <w:caps w:val="false"/>
          <w:smallCaps w:val="false"/>
          <w:sz w:val="20"/>
        </w:rPr>
        <w:t>Summary of Option Activity </w:t>
      </w:r>
    </w:p>
    <w:tbl>
      <w:tblPr>
        <w:tblW w:w="9775" w:type="dxa"/>
        <w:jc w:val="left"/>
        <w:tblInd w:w="0" w:type="dxa"/>
        <w:tblLayout w:type="fixed"/>
        <w:tblCellMar>
          <w:top w:w="0" w:type="dxa"/>
          <w:left w:w="0" w:type="dxa"/>
          <w:bottom w:w="0" w:type="dxa"/>
          <w:right w:w="0" w:type="dxa"/>
        </w:tblCellMar>
      </w:tblPr>
      <w:tblGrid>
        <w:gridCol w:w="4835"/>
        <w:gridCol w:w="60"/>
        <w:gridCol w:w="60"/>
        <w:gridCol w:w="680"/>
        <w:gridCol w:w="95"/>
        <w:gridCol w:w="60"/>
        <w:gridCol w:w="240"/>
        <w:gridCol w:w="1685"/>
        <w:gridCol w:w="60"/>
        <w:gridCol w:w="60"/>
        <w:gridCol w:w="194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Weighted-Average</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Remaining</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Contractual Term</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4" w:name="xdx_983_eus-gaap--ShareBasedCompensation"/>
            <w:bookmarkEnd w:id="604"/>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5" w:name="xdx_989_eus-gaap--ShareBasedCompensation"/>
            <w:bookmarkEnd w:id="605"/>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6" w:name="xdx_984_eus-gaap--ShareBasedCompensation"/>
            <w:bookmarkEnd w:id="606"/>
          </w:p>
        </w:tc>
        <w:tc>
          <w:tcPr>
            <w:tcW w:w="1685" w:type="dxa"/>
            <w:tcBorders/>
            <w:shd w:fill="FFFFFF" w:val="clear"/>
            <w:vAlign w:val="center"/>
          </w:tcPr>
          <w:p>
            <w:pPr>
              <w:pStyle w:val="TableContents"/>
              <w:bidi w:val="0"/>
              <w:spacing w:before="0" w:after="283"/>
              <w:jc w:val="right"/>
              <w:rPr/>
            </w:pPr>
            <w:r>
              <w:rPr/>
              <w:t>     </w:t>
            </w:r>
            <w:r>
              <w:rPr>
                <w:rFonts w:ascii="Times New Roman;Times;Serif" w:hAnsi="Times New Roman;Times;Serif"/>
              </w:rPr>
              <w:t>326.76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rFonts w:ascii="Times New Roman;Times;Serif" w:hAnsi="Times New Roman;Times;Serif"/>
              </w:rPr>
            </w:pPr>
            <w:bookmarkStart w:id="607" w:name="xdx_904_ecustom--SharebasedCompensationA"/>
            <w:bookmarkEnd w:id="607"/>
            <w:r>
              <w:rPr>
                <w:rFonts w:ascii="Times New Roman;Times;Serif" w:hAnsi="Times New Roman;Times;Serif"/>
              </w:rPr>
              <w:t>9.34 years</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8" w:name="xdx_985_eus-gaap--StockIssuedDuringPerio"/>
            <w:bookmarkEnd w:id="60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Forfeitures or expirations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9" w:name="xdx_98B_eus-gaap--ShareBasedCompensation"/>
            <w:bookmarkEnd w:id="609"/>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0" w:name="xdx_981_eus-gaap--ShareBasedCompensation"/>
            <w:bookmarkEnd w:id="610"/>
          </w:p>
        </w:tc>
        <w:tc>
          <w:tcPr>
            <w:tcW w:w="16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11" w:name="xdx_981_eus-gaap--ShareBasedCompensation"/>
            <w:bookmarkEnd w:id="611"/>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2" w:name="xdx_98A_eus-gaap--ShareBasedCompensation"/>
            <w:bookmarkEnd w:id="612"/>
          </w:p>
        </w:tc>
        <w:tc>
          <w:tcPr>
            <w:tcW w:w="16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rFonts w:ascii="Times New Roman;Times;Serif" w:hAnsi="Times New Roman;Times;Serif"/>
              </w:rPr>
            </w:pPr>
            <w:bookmarkStart w:id="613" w:name="xdx_905_eus-gaap--SharebasedCompensation"/>
            <w:bookmarkEnd w:id="613"/>
            <w:r>
              <w:rPr>
                <w:rFonts w:ascii="Times New Roman;Times;Serif" w:hAnsi="Times New Roman;Times;Serif"/>
              </w:rPr>
              <w:t>8.55 years</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14" w:name="xdx_984_eus-gaap--ShareBasedCompensation"/>
            <w:bookmarkEnd w:id="614"/>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5" w:name="xdx_98F_eus-gaap--ShareBasedCompensation"/>
            <w:bookmarkEnd w:id="615"/>
          </w:p>
        </w:tc>
        <w:tc>
          <w:tcPr>
            <w:tcW w:w="16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rFonts w:ascii="Times New Roman;Times;Serif" w:hAnsi="Times New Roman;Times;Serif"/>
              </w:rPr>
            </w:pPr>
            <w:bookmarkStart w:id="616" w:name="xdx_904_ecustom--SharebasedCompensationA"/>
            <w:bookmarkEnd w:id="616"/>
            <w:r>
              <w:rPr>
                <w:rFonts w:ascii="Times New Roman;Times;Serif" w:hAnsi="Times New Roman;Times;Serif"/>
              </w:rPr>
              <w:t>9.42 years</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17" w:name="xdx_982_eus-gaap--StockIssuedDuringPerio"/>
            <w:bookmarkEnd w:id="617"/>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Forfeitures or expirations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8" w:name="xdx_989_eus-gaap--ShareBasedCompensation"/>
            <w:bookmarkEnd w:id="618"/>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9" w:name="xdx_98A_eus-gaap--ShareBasedCompensation"/>
            <w:bookmarkEnd w:id="619"/>
          </w:p>
        </w:tc>
        <w:tc>
          <w:tcPr>
            <w:tcW w:w="16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0" w:name="xdx_980_eus-gaap--ShareBasedCompensation"/>
            <w:bookmarkEnd w:id="620"/>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21" w:name="xdx_98D_eus-gaap--ShareBasedCompensation"/>
            <w:bookmarkEnd w:id="621"/>
          </w:p>
        </w:tc>
        <w:tc>
          <w:tcPr>
            <w:tcW w:w="16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rFonts w:ascii="Times New Roman;Times;Serif" w:hAnsi="Times New Roman;Times;Serif"/>
              </w:rPr>
            </w:pPr>
            <w:bookmarkStart w:id="622" w:name="xdx_909_eus-gaap--SharebasedCompensation"/>
            <w:bookmarkEnd w:id="622"/>
            <w:r>
              <w:rPr>
                <w:rFonts w:ascii="Times New Roman;Times;Serif" w:hAnsi="Times New Roman;Times;Serif"/>
              </w:rPr>
              <w:t>9.41 years</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23" w:name="xdx_98B_eus-gaap--ShareBasedCompensation"/>
            <w:bookmarkEnd w:id="623"/>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4" w:name="xdx_98D_eus-gaap--ShareBasedCompensation"/>
            <w:bookmarkEnd w:id="624"/>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25" w:name="xdx_8A4_zPpoQcNGPdMi"/>
      <w:bookmarkEnd w:id="62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26" w:name="xdx_8BB_zTtvwH6xnvm7"/>
      <w:bookmarkStart w:id="627" w:name="xdx_893_eus-gaap--ScheduleOfShareBasedPa"/>
      <w:bookmarkEnd w:id="626"/>
      <w:bookmarkEnd w:id="627"/>
      <w:r>
        <w:rPr>
          <w:rFonts w:ascii="Times New Roman;Times;Serif" w:hAnsi="Times New Roman;Times;Serif"/>
          <w:b w:val="false"/>
          <w:i w:val="false"/>
          <w:caps w:val="false"/>
          <w:smallCaps w:val="false"/>
          <w:sz w:val="20"/>
        </w:rPr>
        <w:t>Schedule of Fair Value Assumption</w:t>
      </w:r>
    </w:p>
    <w:tbl>
      <w:tblPr>
        <w:tblW w:w="4150" w:type="dxa"/>
        <w:jc w:val="left"/>
        <w:tblInd w:w="0" w:type="dxa"/>
        <w:tblLayout w:type="fixed"/>
        <w:tblCellMar>
          <w:top w:w="0" w:type="dxa"/>
          <w:left w:w="0" w:type="dxa"/>
          <w:bottom w:w="0" w:type="dxa"/>
          <w:right w:w="0" w:type="dxa"/>
        </w:tblCellMar>
      </w:tblPr>
      <w:tblGrid>
        <w:gridCol w:w="2345"/>
        <w:gridCol w:w="60"/>
        <w:gridCol w:w="60"/>
        <w:gridCol w:w="560"/>
        <w:gridCol w:w="215"/>
        <w:gridCol w:w="60"/>
        <w:gridCol w:w="60"/>
        <w:gridCol w:w="560"/>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8" w:name="xdx_498_20240101__20241231__us-gaap--Awa"/>
            <w:bookmarkEnd w:id="628"/>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9" w:name="xdx_498_20230101__20231231__us-gaap--Awa"/>
            <w:bookmarkEnd w:id="629"/>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30" w:type="dxa"/>
            <w:tcBorders/>
            <w:vAlign w:val="center"/>
          </w:tcPr>
          <w:p>
            <w:pPr>
              <w:pStyle w:val="TableContents"/>
              <w:bidi w:val="0"/>
              <w:spacing w:before="0" w:after="283"/>
              <w:jc w:val="left"/>
              <w:rPr/>
            </w:pPr>
            <w:r>
              <w:rPr/>
              <w:t> </w:t>
            </w:r>
            <w:bookmarkStart w:id="630" w:name="xdx_404_eus-gaap--ShareBasedCompensation"/>
            <w:bookmarkEnd w:id="630"/>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631" w:name="xdx_903_eus-gaap--SharebasedCompensation"/>
            <w:bookmarkEnd w:id="631"/>
            <w:r>
              <w:rPr>
                <w:rFonts w:ascii="Times New Roman;Times;Serif" w:hAnsi="Times New Roman;Times;Serif"/>
              </w:rPr>
              <w:t>5.43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632" w:name="xdx_901_eus-gaap--SharebasedCompensation"/>
            <w:bookmarkEnd w:id="632"/>
            <w:r>
              <w:rPr>
                <w:rFonts w:ascii="Times New Roman;Times;Serif" w:hAnsi="Times New Roman;Times;Serif"/>
              </w:rPr>
              <w:t>5.9</w:t>
            </w:r>
          </w:p>
        </w:tc>
        <w:tc>
          <w:tcPr>
            <w:tcW w:w="230" w:type="dxa"/>
            <w:tcBorders/>
            <w:shd w:fill="FFFFFF" w:val="clear"/>
            <w:vAlign w:val="center"/>
          </w:tcPr>
          <w:p>
            <w:pPr>
              <w:pStyle w:val="TableContents"/>
              <w:bidi w:val="0"/>
              <w:spacing w:before="0" w:after="283"/>
              <w:jc w:val="left"/>
              <w:rPr/>
            </w:pPr>
            <w:r>
              <w:rPr/>
              <w:t> </w:t>
            </w:r>
            <w:bookmarkStart w:id="633" w:name="xdx_40B_eus-gaap--ShareBasedCompensation"/>
            <w:bookmarkEnd w:id="633"/>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30" w:type="dxa"/>
            <w:tcBorders/>
            <w:shd w:fill="CCEEFF" w:val="clear"/>
            <w:vAlign w:val="center"/>
          </w:tcPr>
          <w:p>
            <w:pPr>
              <w:pStyle w:val="TableContents"/>
              <w:bidi w:val="0"/>
              <w:spacing w:before="0" w:after="283"/>
              <w:jc w:val="left"/>
              <w:rPr/>
            </w:pPr>
            <w:r>
              <w:rPr/>
              <w:t> </w:t>
            </w:r>
            <w:bookmarkStart w:id="634" w:name="xdx_407_eus-gaap--ShareBasedCompensation"/>
            <w:bookmarkEnd w:id="634"/>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bookmarkStart w:id="635" w:name="xdx_8A9_zElwP1R1s656"/>
      <w:bookmarkEnd w:id="635"/>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stock options issued qualify for equity accounting treatment under ASC 718, </w:t>
      </w:r>
      <w:r>
        <w:rPr>
          <w:rFonts w:ascii="Times New Roman;Times;Serif" w:hAnsi="Times New Roman;Times;Serif"/>
          <w:b w:val="false"/>
          <w:i/>
          <w:caps w:val="false"/>
          <w:smallCaps w:val="false"/>
          <w:sz w:val="20"/>
        </w:rPr>
        <w:t>Compensation- Stock Compensation</w:t>
      </w:r>
      <w:r>
        <w:rPr>
          <w:rFonts w:ascii="Times New Roman;Times;Serif" w:hAnsi="Times New Roman;Times;Serif"/>
          <w:b w:val="false"/>
          <w:i w:val="false"/>
          <w:caps w:val="false"/>
          <w:smallCaps w:val="false"/>
          <w:sz w:val="20"/>
        </w:rPr>
        <w:t>, and are measured at fair value as of their grant date accordingly. The fair value of the options were estimated using a Black-Scholes model. The assumptions that the Company used to estimate the grant-date fair value of stock options granted to employees and directors were as follows, shown on a weighted average basis for the respective years ended:</w:t>
      </w:r>
    </w:p>
    <w:p>
      <w:pPr>
        <w:pStyle w:val="TextBody"/>
        <w:bidi w:val="0"/>
        <w:jc w:val="both"/>
        <w:rPr>
          <w:caps w:val="false"/>
          <w:smallCaps w:val="false"/>
        </w:rPr>
      </w:pPr>
      <w:bookmarkStart w:id="636" w:name="xdx_C0A_gL3SOSBPASOVA-RPNHYI_zxFaviBuuTZ"/>
      <w:bookmarkEnd w:id="63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37" w:name="xdx_303_134_zPjiuwHJLjm6"/>
      <w:bookmarkStart w:id="638" w:name="xdx_303_134_zPjiuwHJLjm6"/>
      <w:bookmarkEnd w:id="638"/>
    </w:p>
    <w:tbl>
      <w:tblPr>
        <w:tblW w:w="4150" w:type="dxa"/>
        <w:jc w:val="left"/>
        <w:tblInd w:w="0" w:type="dxa"/>
        <w:tblLayout w:type="fixed"/>
        <w:tblCellMar>
          <w:top w:w="0" w:type="dxa"/>
          <w:left w:w="0" w:type="dxa"/>
          <w:bottom w:w="0" w:type="dxa"/>
          <w:right w:w="0" w:type="dxa"/>
        </w:tblCellMar>
      </w:tblPr>
      <w:tblGrid>
        <w:gridCol w:w="2345"/>
        <w:gridCol w:w="60"/>
        <w:gridCol w:w="60"/>
        <w:gridCol w:w="560"/>
        <w:gridCol w:w="215"/>
        <w:gridCol w:w="60"/>
        <w:gridCol w:w="60"/>
        <w:gridCol w:w="560"/>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bookmarkStart w:id="639" w:name="xdx_90E_eus-gaap--ShareBasedCompensation"/>
            <w:bookmarkEnd w:id="639"/>
            <w:r>
              <w:rPr>
                <w:rFonts w:ascii="Times New Roman;Times;Serif" w:hAnsi="Times New Roman;Times;Serif"/>
              </w:rPr>
              <w:t>4.240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bookmarkStart w:id="640" w:name="xdx_909_eus-gaap--ShareBasedCompensation"/>
            <w:bookmarkEnd w:id="640"/>
            <w:r>
              <w:rPr>
                <w:rFonts w:ascii="Times New Roman;Times;Serif" w:hAnsi="Times New Roman;Times;Serif"/>
              </w:rPr>
              <w:t>3.749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641" w:name="xdx_90C_eus-gaap--SharebasedCompensation"/>
            <w:bookmarkEnd w:id="641"/>
            <w:r>
              <w:rPr>
                <w:rFonts w:ascii="Times New Roman;Times;Serif" w:hAnsi="Times New Roman;Times;Serif"/>
              </w:rPr>
              <w:t>5.43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642" w:name="xdx_905_eus-gaap--SharebasedCompensation"/>
            <w:bookmarkEnd w:id="642"/>
            <w:r>
              <w:rPr>
                <w:rFonts w:ascii="Times New Roman;Times;Serif" w:hAnsi="Times New Roman;Times;Serif"/>
              </w:rPr>
              <w:t>5.9</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bookmarkStart w:id="643" w:name="xdx_905_eus-gaap--ShareBasedCompensation"/>
            <w:bookmarkEnd w:id="643"/>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bookmarkStart w:id="644" w:name="xdx_908_eus-gaap--ShareBasedCompensation"/>
            <w:bookmarkEnd w:id="644"/>
            <w:r>
              <w:rPr>
                <w:rFonts w:ascii="Times New Roman;Times;Serif" w:hAnsi="Times New Roman;Times;Serif"/>
              </w:rPr>
              <w:t>1.2</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645" w:name="xdx_902_eus-gaap--ShareBasedCompensation"/>
            <w:bookmarkEnd w:id="645"/>
            <w:r>
              <w:rPr>
                <w:rFonts w:ascii="Times New Roman;Times;Serif" w:hAnsi="Times New Roman;Times;Serif"/>
              </w:rPr>
              <w:t>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bookmarkStart w:id="646" w:name="xdx_90A_eus-gaap--ShareBasedCompensation"/>
            <w:bookmarkEnd w:id="646"/>
            <w:r>
              <w:rPr>
                <w:rFonts w:ascii="Times New Roman;Times;Serif" w:hAnsi="Times New Roman;Times;Serif"/>
              </w:rPr>
              <w:t>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aps w:val="false"/>
          <w:smallCaps w:val="false"/>
        </w:rPr>
      </w:pPr>
      <w:bookmarkStart w:id="647" w:name="xdx_C00_gL3SOSBPASOVA-RPNHYI_zGudwHPvNuQ"/>
      <w:bookmarkEnd w:id="64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The Company based the risk-free interest rate over the expected term of the options based on the constant maturity of U.S. Treasury securities with similar maturities as of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The expected term represents the period that the options granted are expected to be outstanding and is determined using the simplified method (based on the mid-point between the vesting dates and the end of the contractual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The Company uses an average historical stock price volatility of comparable public companies within the biotechnology and pharmaceutical industry that were deemed to be representative of future stock price trends as the Company does not have sufficient trading history for its common stock. The Company will continue to apply this process until a sufficient amount of historical information regarding volatility of its own stock price becomes available.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 Yield</w:t>
      </w:r>
      <w:r>
        <w:rPr>
          <w:rFonts w:ascii="Times New Roman;Times;Serif" w:hAnsi="Times New Roman;Times;Serif"/>
          <w:b w:val="false"/>
          <w:i w:val="false"/>
          <w:caps w:val="false"/>
          <w:smallCaps w:val="false"/>
          <w:sz w:val="20"/>
        </w:rPr>
        <w:t>: The Company has not paid and does not anticipate paying any dividends in the near future. Therefore, the expected dividend yield was zero.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 of options granted during the year ended December 31, 2024 ranged from $</w:t>
      </w:r>
      <w:bookmarkStart w:id="648" w:name="xdx_901_eus-gaap--ShareBasedCompensation"/>
      <w:bookmarkEnd w:id="648"/>
      <w:r>
        <w:rPr>
          <w:rFonts w:ascii="Times New Roman;Times;Serif" w:hAnsi="Times New Roman;Times;Serif"/>
          <w:b w:val="false"/>
          <w:i w:val="false"/>
          <w:caps w:val="false"/>
          <w:smallCaps w:val="false"/>
          <w:sz w:val="20"/>
        </w:rPr>
        <w:t>4.00 to $</w:t>
      </w:r>
      <w:bookmarkStart w:id="649" w:name="xdx_907_eus-gaap--ShareBasedCompensation"/>
      <w:bookmarkEnd w:id="649"/>
      <w:r>
        <w:rPr>
          <w:rFonts w:ascii="Times New Roman;Times;Serif" w:hAnsi="Times New Roman;Times;Serif"/>
          <w:b w:val="false"/>
          <w:i w:val="false"/>
          <w:caps w:val="false"/>
          <w:smallCaps w:val="false"/>
          <w:sz w:val="20"/>
        </w:rPr>
        <w:t>14.00 and $</w:t>
      </w:r>
      <w:bookmarkStart w:id="650" w:name="xdx_900_eus-gaap--ShareBasedCompensation"/>
      <w:bookmarkEnd w:id="650"/>
      <w:r>
        <w:rPr>
          <w:rFonts w:ascii="Times New Roman;Times;Serif" w:hAnsi="Times New Roman;Times;Serif"/>
          <w:b w:val="false"/>
          <w:i w:val="false"/>
          <w:caps w:val="false"/>
          <w:smallCaps w:val="false"/>
          <w:sz w:val="20"/>
        </w:rPr>
        <w:t>153.96 to $</w:t>
      </w:r>
      <w:bookmarkStart w:id="651" w:name="xdx_90C_eus-gaap--ShareBasedCompensation"/>
      <w:bookmarkEnd w:id="651"/>
      <w:r>
        <w:rPr>
          <w:rFonts w:ascii="Times New Roman;Times;Serif" w:hAnsi="Times New Roman;Times;Serif"/>
          <w:b w:val="false"/>
          <w:i w:val="false"/>
          <w:caps w:val="false"/>
          <w:smallCaps w:val="false"/>
          <w:sz w:val="20"/>
        </w:rPr>
        <w:t>366.84 for options granted during the year ended December 31, 2023.</w:t>
      </w:r>
    </w:p>
    <w:p>
      <w:pPr>
        <w:pStyle w:val="TextBody"/>
        <w:bidi w:val="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intrinsic value of stock options is calculated as the difference between the exercise price of the stock options and the fair value of the Company’s common stock. Because there were no stock options with exercise prices lower than the fair value of the Company’s common stock, the aggregate intrinsic value is </w:t>
      </w:r>
      <w:bookmarkStart w:id="652" w:name="xdx_90F_eus-gaap--ShareBasedCompensation"/>
      <w:bookmarkStart w:id="653" w:name="xdx_900_eus-gaap--ShareBasedCompensation"/>
      <w:bookmarkEnd w:id="652"/>
      <w:bookmarkEnd w:id="653"/>
      <w:r>
        <w:rPr>
          <w:rFonts w:ascii="Times New Roman;Times;Serif" w:hAnsi="Times New Roman;Times;Serif"/>
          <w:b w:val="false"/>
          <w:i w:val="false"/>
          <w:caps w:val="false"/>
          <w:smallCaps w:val="false"/>
          <w:sz w:val="20"/>
        </w:rPr>
        <w:t>zero as of December 31, 2024 and 2023.</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54" w:name="xdx_800_eus-gaap--IncomeTaxDisclosureTex"/>
      <w:bookmarkEnd w:id="654"/>
      <w:r>
        <w:rPr>
          <w:rFonts w:ascii="Times New Roman;Times;Serif" w:hAnsi="Times New Roman;Times;Serif"/>
          <w:b/>
          <w:i w:val="false"/>
          <w:caps w:val="false"/>
          <w:smallCaps w:val="false"/>
          <w:sz w:val="20"/>
        </w:rPr>
        <w:t xml:space="preserve">(13) </w:t>
      </w:r>
      <w:bookmarkStart w:id="655" w:name="xdx_822_zhgN0ILY1ibi"/>
      <w:bookmarkEnd w:id="655"/>
      <w:r>
        <w:rPr>
          <w:rFonts w:ascii="Times New Roman;Times;Serif" w:hAnsi="Times New Roman;Times;Serif"/>
          <w:b/>
          <w:i w:val="false"/>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is taxed as a C corporation under the Internal Revenue Code. Cingulate Inc. records deferred income taxes to reflect the impact of temporary differences between the recorded amounts of assets and liabilities for financial reporting purposes and such amounts as measured by tax laws and regulations. CTx is a wholly-owned disregarded entity of Cingulate Inc., and all of the activity for CTx, along with its wholly-owned subsidiary Cingulate Works Inc., is included in the calculation of the current and deferred tax assets and liabilities for Cingulate Inc. No deferred income tax benefit or expense was recorded as of December 31, 2024 or December 31, 2023, for federal or state 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56" w:name="xdx_892_eus-gaap--ScheduleOfEffectiveInc"/>
      <w:bookmarkEnd w:id="656"/>
      <w:r>
        <w:rPr>
          <w:rFonts w:ascii="Times New Roman;Times;Serif" w:hAnsi="Times New Roman;Times;Serif"/>
          <w:b w:val="false"/>
          <w:i w:val="false"/>
          <w:caps w:val="false"/>
          <w:smallCaps w:val="false"/>
          <w:sz w:val="20"/>
        </w:rPr>
        <w:t>Income tax expense differed from the expected expense computed by applying U.S. Federal income tax rate for the respective years ended as follows:</w:t>
      </w:r>
    </w:p>
    <w:p>
      <w:pPr>
        <w:pStyle w:val="TextBody"/>
        <w:bidi w:val="0"/>
        <w:jc w:val="both"/>
        <w:rPr>
          <w:rFonts w:ascii="Times New Roman;Times;Serif" w:hAnsi="Times New Roman;Times;Serif"/>
          <w:b w:val="false"/>
          <w:i w:val="false"/>
          <w:caps w:val="false"/>
          <w:smallCaps w:val="false"/>
          <w:sz w:val="20"/>
        </w:rPr>
      </w:pPr>
      <w:bookmarkStart w:id="657" w:name="xdx_8BA_zYWII1YXUt7e"/>
      <w:bookmarkEnd w:id="657"/>
      <w:r>
        <w:rPr>
          <w:rFonts w:ascii="Times New Roman;Times;Serif" w:hAnsi="Times New Roman;Times;Serif"/>
          <w:b w:val="false"/>
          <w:i w:val="false"/>
          <w:caps w:val="false"/>
          <w:smallCaps w:val="false"/>
          <w:sz w:val="20"/>
        </w:rPr>
        <w:t>Schedule of Effective Income Tax Rate Reconciliation </w:t>
      </w:r>
    </w:p>
    <w:tbl>
      <w:tblPr>
        <w:tblW w:w="8993" w:type="dxa"/>
        <w:jc w:val="left"/>
        <w:tblInd w:w="0" w:type="dxa"/>
        <w:tblLayout w:type="fixed"/>
        <w:tblCellMar>
          <w:top w:w="0" w:type="dxa"/>
          <w:left w:w="0" w:type="dxa"/>
          <w:bottom w:w="0" w:type="dxa"/>
          <w:right w:w="0" w:type="dxa"/>
        </w:tblCellMar>
      </w:tblPr>
      <w:tblGrid>
        <w:gridCol w:w="4760"/>
        <w:gridCol w:w="60"/>
        <w:gridCol w:w="229"/>
        <w:gridCol w:w="1725"/>
        <w:gridCol w:w="95"/>
        <w:gridCol w:w="60"/>
        <w:gridCol w:w="229"/>
        <w:gridCol w:w="1725"/>
        <w:gridCol w:w="11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8" w:name="xdx_49E_20240101__20241231_zYoP00pZXvW"/>
            <w:bookmarkEnd w:id="65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9" w:name="xdx_499_20230101__20231231_zPc6Fs9hiwDc"/>
            <w:bookmarkEnd w:id="659"/>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2023</w:t>
            </w:r>
          </w:p>
        </w:tc>
        <w:tc>
          <w:tcPr>
            <w:tcW w:w="110" w:type="dxa"/>
            <w:tcBorders/>
            <w:vAlign w:val="center"/>
          </w:tcPr>
          <w:p>
            <w:pPr>
              <w:pStyle w:val="TableContents"/>
              <w:bidi w:val="0"/>
              <w:spacing w:before="0" w:after="283"/>
              <w:jc w:val="left"/>
              <w:rPr/>
            </w:pPr>
            <w:r>
              <w:rPr/>
              <w:t> </w:t>
            </w:r>
            <w:bookmarkStart w:id="660" w:name="xdx_40B_eus-gaap--IncomeTaxReconciliatio"/>
            <w:bookmarkEnd w:id="660"/>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income tax benefit at statutory rate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(3,264,659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(4,936,484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1" w:name="xdx_40D_eus-gaap--IncomeTaxReconciliatio"/>
            <w:bookmarkEnd w:id="661"/>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 benefit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(541,359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(1,299,941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2" w:name="xdx_403_ecustom--IncomeTaxReconciliation"/>
            <w:bookmarkEnd w:id="662"/>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18,239</w:t>
            </w:r>
          </w:p>
        </w:tc>
        <w:tc>
          <w:tcPr>
            <w:tcW w:w="110" w:type="dxa"/>
            <w:tcBorders/>
            <w:shd w:fill="CCEEFF" w:val="clear"/>
            <w:vAlign w:val="center"/>
          </w:tcPr>
          <w:p>
            <w:pPr>
              <w:pStyle w:val="TableContents"/>
              <w:bidi w:val="0"/>
              <w:spacing w:before="0" w:after="283"/>
              <w:jc w:val="left"/>
              <w:rPr/>
            </w:pPr>
            <w:r>
              <w:rPr/>
              <w:t> </w:t>
            </w:r>
            <w:bookmarkStart w:id="663" w:name="xdx_40B_eus-gaap--IncomeTaxReconciliatio"/>
            <w:bookmarkEnd w:id="663"/>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4,802,119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7,050,437</w:t>
            </w:r>
          </w:p>
        </w:tc>
        <w:tc>
          <w:tcPr>
            <w:tcW w:w="110" w:type="dxa"/>
            <w:tcBorders/>
            <w:shd w:fill="FFFFFF" w:val="clear"/>
            <w:vAlign w:val="center"/>
          </w:tcPr>
          <w:p>
            <w:pPr>
              <w:pStyle w:val="TableContents"/>
              <w:bidi w:val="0"/>
              <w:spacing w:before="0" w:after="283"/>
              <w:jc w:val="left"/>
              <w:rPr/>
            </w:pPr>
            <w:r>
              <w:rPr/>
              <w:t> </w:t>
            </w:r>
            <w:bookmarkStart w:id="664" w:name="xdx_401_ecustom--IncomeTaxReconciliation"/>
            <w:bookmarkEnd w:id="664"/>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 prior period</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(972,372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(775,982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5" w:name="xdx_40C_eus-gaap--IncomeTaxReconciliatio"/>
            <w:bookmarkEnd w:id="665"/>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6" w:name="xdx_403_eus-gaap--IncomeTaxExpenseBenefi"/>
            <w:bookmarkEnd w:id="666"/>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tax expense</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67" w:name="xdx_8AA_zRwGutLW7Alh"/>
      <w:bookmarkEnd w:id="66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need for, and amount of, a valuation allowance for deferred tax assets often requires significant judgment and extensive analysis of all available evidence on a jurisdiction-by-jurisdiction basis. Such judgments require the Company to interpret existing tax law and other published guidance as applied to its circumstances. As part of this assessment, the Company considers both positive and negative evidence about its profitability and tax situation. A valuation allowance is provided if, based on available evidence, it is more likely than not that all or some portion of a deferred tax asset will not be realized. The Company determined that it was more likely than not that it would not realize its deferred tax assets, based on historical levels of income and future forecasts of taxable income, among other items. The Company recorded a valuation allowance of its net deferred tax assets totaling $</w:t>
      </w:r>
      <w:bookmarkStart w:id="668" w:name="xdx_90D_ecustom--DeferredTaxAssetNetCurr"/>
      <w:bookmarkEnd w:id="668"/>
      <w:r>
        <w:rPr>
          <w:rFonts w:ascii="Times New Roman;Times;Serif" w:hAnsi="Times New Roman;Times;Serif"/>
          <w:b w:val="false"/>
          <w:i w:val="false"/>
          <w:caps w:val="false"/>
          <w:smallCaps w:val="false"/>
          <w:sz w:val="20"/>
        </w:rPr>
        <w:t>17,405,569 and $</w:t>
      </w:r>
      <w:bookmarkStart w:id="669" w:name="xdx_90B_ecustom--DeferredTaxAssetNetCurr"/>
      <w:bookmarkEnd w:id="669"/>
      <w:r>
        <w:rPr>
          <w:rFonts w:ascii="Times New Roman;Times;Serif" w:hAnsi="Times New Roman;Times;Serif"/>
          <w:b w:val="false"/>
          <w:i w:val="false"/>
          <w:caps w:val="false"/>
          <w:smallCaps w:val="false"/>
          <w:sz w:val="20"/>
        </w:rPr>
        <w:t>12,631,033, respectively, at December 31, 2024 and 2023, which was recorded as a component of income tax expense on the accompanying consolidated statements of operations and other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federal and various state jurisdictions. The Company is not subject to U.S. federal and state income tax examinations by tax authorities for years before 2020.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provisions of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to evaluate uncertain tax positions. This topic prescribes a recognition threshold and measurement attribute for the financial statement recognition and measurement of a tax position taken or expected to be taken in a tax return. The Company has not identified any material uncertain tax positions requiring recognition in the consolidated financial statements as of December 31, 2024 or December 31, 2023.</w:t>
      </w:r>
    </w:p>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670" w:name="xdx_89B_eus-gaap--ScheduleOfDeferredTaxA"/>
      <w:bookmarkEnd w:id="670"/>
      <w:r>
        <w:rPr>
          <w:caps w:val="false"/>
          <w:smallCaps w:val="false"/>
        </w:rPr>
        <w:t> </w:t>
      </w:r>
      <w:bookmarkStart w:id="671" w:name="xdx_8BC_zkpKRhueHc33"/>
      <w:bookmarkEnd w:id="671"/>
      <w:r>
        <w:rPr>
          <w:rFonts w:ascii="Times New Roman;Times;Serif" w:hAnsi="Times New Roman;Times;Serif"/>
          <w:b w:val="false"/>
          <w:i w:val="false"/>
          <w:caps w:val="false"/>
          <w:smallCaps w:val="false"/>
          <w:sz w:val="20"/>
        </w:rPr>
        <w:t>Schedule of Deferred Tax Assets and Liabilities</w:t>
      </w:r>
    </w:p>
    <w:tbl>
      <w:tblPr>
        <w:tblW w:w="7838" w:type="dxa"/>
        <w:jc w:val="left"/>
        <w:tblInd w:w="0" w:type="dxa"/>
        <w:tblLayout w:type="fixed"/>
        <w:tblCellMar>
          <w:top w:w="0" w:type="dxa"/>
          <w:left w:w="0" w:type="dxa"/>
          <w:bottom w:w="0" w:type="dxa"/>
          <w:right w:w="0" w:type="dxa"/>
        </w:tblCellMar>
      </w:tblPr>
      <w:tblGrid>
        <w:gridCol w:w="3605"/>
        <w:gridCol w:w="60"/>
        <w:gridCol w:w="208"/>
        <w:gridCol w:w="1746"/>
        <w:gridCol w:w="95"/>
        <w:gridCol w:w="60"/>
        <w:gridCol w:w="208"/>
        <w:gridCol w:w="1746"/>
        <w:gridCol w:w="110"/>
      </w:tblGrid>
      <w:tr>
        <w:trPr/>
        <w:tc>
          <w:tcPr>
            <w:tcW w:w="360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bookmarkStart w:id="672" w:name="xdx_493_20241231_zuwENowPISd4"/>
            <w:bookmarkEnd w:id="672"/>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3" w:name="xdx_49D_20231231_zlWezQ26xKuk"/>
            <w:bookmarkEnd w:id="673"/>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2023</w:t>
            </w:r>
          </w:p>
        </w:tc>
        <w:tc>
          <w:tcPr>
            <w:tcW w:w="110" w:type="dxa"/>
            <w:tcBorders/>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674" w:name="xdx_40F_ecustom--DeferredTaxAssetsInRese"/>
            <w:bookmarkEnd w:id="674"/>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1,662,662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1,257,027</w:t>
            </w:r>
          </w:p>
        </w:tc>
        <w:tc>
          <w:tcPr>
            <w:tcW w:w="110" w:type="dxa"/>
            <w:tcBorders/>
            <w:shd w:fill="CCEEFF" w:val="clear"/>
            <w:vAlign w:val="center"/>
          </w:tcPr>
          <w:p>
            <w:pPr>
              <w:pStyle w:val="TableContents"/>
              <w:bidi w:val="0"/>
              <w:spacing w:before="0" w:after="283"/>
              <w:ind w:left="0" w:right="0" w:hanging="0"/>
              <w:jc w:val="left"/>
              <w:rPr/>
            </w:pPr>
            <w:r>
              <w:rPr/>
              <w:t> </w:t>
            </w:r>
            <w:bookmarkStart w:id="675" w:name="xdx_401_ecustom--DeferredTaxAssetsOtherC"/>
            <w:bookmarkEnd w:id="675"/>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676" w:name="xdx_400_eus-gaap--DeferredTaxAssetsOpera"/>
            <w:bookmarkEnd w:id="676"/>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9,314,876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6,515,232</w:t>
            </w:r>
          </w:p>
        </w:tc>
        <w:tc>
          <w:tcPr>
            <w:tcW w:w="110" w:type="dxa"/>
            <w:tcBorders/>
            <w:shd w:fill="FFFFFF" w:val="clear"/>
            <w:vAlign w:val="center"/>
          </w:tcPr>
          <w:p>
            <w:pPr>
              <w:pStyle w:val="TableContents"/>
              <w:bidi w:val="0"/>
              <w:spacing w:before="0" w:after="283"/>
              <w:ind w:left="0" w:right="0" w:hanging="0"/>
              <w:jc w:val="left"/>
              <w:rPr/>
            </w:pPr>
            <w:r>
              <w:rPr/>
              <w:t> </w:t>
            </w:r>
            <w:bookmarkStart w:id="677" w:name="xdx_400_eus-gaap--DeferredTaxAssetsInPro"/>
            <w:bookmarkEnd w:id="677"/>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4,269,254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4,051,553</w:t>
            </w:r>
          </w:p>
        </w:tc>
        <w:tc>
          <w:tcPr>
            <w:tcW w:w="110" w:type="dxa"/>
            <w:tcBorders/>
            <w:shd w:fill="CCEEFF" w:val="clear"/>
            <w:vAlign w:val="center"/>
          </w:tcPr>
          <w:p>
            <w:pPr>
              <w:pStyle w:val="TableContents"/>
              <w:bidi w:val="0"/>
              <w:spacing w:before="0" w:after="283"/>
              <w:ind w:left="0" w:right="0" w:hanging="0"/>
              <w:jc w:val="left"/>
              <w:rPr/>
            </w:pPr>
            <w:r>
              <w:rPr/>
              <w:t> </w:t>
            </w:r>
            <w:bookmarkStart w:id="678" w:name="xdx_402_ecustom--DeferredTaxAssetsUnvest"/>
            <w:bookmarkEnd w:id="678"/>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stock options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447,355</w:t>
            </w:r>
          </w:p>
        </w:tc>
        <w:tc>
          <w:tcPr>
            <w:tcW w:w="110" w:type="dxa"/>
            <w:tcBorders/>
            <w:shd w:fill="FFFFFF" w:val="clear"/>
            <w:vAlign w:val="center"/>
          </w:tcPr>
          <w:p>
            <w:pPr>
              <w:pStyle w:val="TableContents"/>
              <w:bidi w:val="0"/>
              <w:spacing w:before="0" w:after="283"/>
              <w:ind w:left="0" w:right="0" w:hanging="0"/>
              <w:jc w:val="left"/>
              <w:rPr/>
            </w:pPr>
            <w:r>
              <w:rPr/>
              <w:t> </w:t>
            </w:r>
            <w:bookmarkStart w:id="679" w:name="xdx_40F_ecustom--DeferredTaxAssetsInRese"/>
            <w:bookmarkEnd w:id="679"/>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756,123</w:t>
            </w:r>
          </w:p>
        </w:tc>
        <w:tc>
          <w:tcPr>
            <w:tcW w:w="110" w:type="dxa"/>
            <w:tcBorders/>
            <w:shd w:fill="CCEEFF" w:val="clear"/>
            <w:vAlign w:val="center"/>
          </w:tcPr>
          <w:p>
            <w:pPr>
              <w:pStyle w:val="TableContents"/>
              <w:bidi w:val="0"/>
              <w:spacing w:before="0" w:after="283"/>
              <w:ind w:left="0" w:right="0" w:hanging="0"/>
              <w:jc w:val="left"/>
              <w:rPr/>
            </w:pPr>
            <w:r>
              <w:rPr/>
              <w:t> </w:t>
            </w:r>
            <w:bookmarkStart w:id="680" w:name="xdx_405_eus-gaap--DeferredTaxAssetsGoodw"/>
            <w:bookmarkEnd w:id="680"/>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110,700</w:t>
            </w:r>
          </w:p>
        </w:tc>
        <w:tc>
          <w:tcPr>
            <w:tcW w:w="110" w:type="dxa"/>
            <w:tcBorders/>
            <w:shd w:fill="FFFFFF" w:val="clear"/>
            <w:vAlign w:val="center"/>
          </w:tcPr>
          <w:p>
            <w:pPr>
              <w:pStyle w:val="TableContents"/>
              <w:bidi w:val="0"/>
              <w:spacing w:before="0" w:after="283"/>
              <w:ind w:left="0" w:right="0" w:hanging="0"/>
              <w:jc w:val="left"/>
              <w:rPr/>
            </w:pPr>
            <w:r>
              <w:rPr/>
              <w:t> </w:t>
            </w:r>
            <w:bookmarkStart w:id="681" w:name="xdx_40C_ecustom--DeferredTaxAssetsRighto"/>
            <w:bookmarkEnd w:id="681"/>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38,706</w:t>
            </w:r>
          </w:p>
        </w:tc>
        <w:tc>
          <w:tcPr>
            <w:tcW w:w="110" w:type="dxa"/>
            <w:tcBorders/>
            <w:shd w:fill="CCEEFF" w:val="clear"/>
            <w:vAlign w:val="center"/>
          </w:tcPr>
          <w:p>
            <w:pPr>
              <w:pStyle w:val="TableContents"/>
              <w:bidi w:val="0"/>
              <w:spacing w:before="0" w:after="283"/>
              <w:ind w:left="0" w:right="0" w:hanging="0"/>
              <w:jc w:val="left"/>
              <w:rPr/>
            </w:pPr>
            <w:r>
              <w:rPr/>
              <w:t> </w:t>
            </w:r>
            <w:bookmarkStart w:id="682" w:name="xdx_404_eus-gaap--DeferredTaxAssetsGross"/>
            <w:bookmarkEnd w:id="682"/>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deferred income tax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17,797,203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13,194,566</w:t>
            </w:r>
          </w:p>
        </w:tc>
        <w:tc>
          <w:tcPr>
            <w:tcW w:w="110" w:type="dxa"/>
            <w:tcBorders/>
            <w:shd w:fill="FFFFFF" w:val="clear"/>
            <w:vAlign w:val="center"/>
          </w:tcPr>
          <w:p>
            <w:pPr>
              <w:pStyle w:val="TableContents"/>
              <w:bidi w:val="0"/>
              <w:spacing w:before="0" w:after="283"/>
              <w:ind w:left="0" w:right="0" w:hanging="0"/>
              <w:jc w:val="left"/>
              <w:rPr/>
            </w:pPr>
            <w:r>
              <w:rPr/>
              <w:t> </w:t>
            </w:r>
            <w:bookmarkStart w:id="683" w:name="xdx_40E_eus-gaap--DeferredTaxAssetsValua"/>
            <w:bookmarkEnd w:id="683"/>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(17,433,152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(12,631,033</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bookmarkStart w:id="684" w:name="xdx_407_eus-gaap--DeferredTaxAssetsNet_i"/>
            <w:bookmarkEnd w:id="684"/>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income tax asset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563,533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bookmarkStart w:id="685" w:name="xdx_401_eus-gaap--DeferredTaxLiabilities"/>
            <w:bookmarkEnd w:id="685"/>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(391,634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(563,533</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bookmarkStart w:id="686" w:name="xdx_40A_eus-gaap--DeferredIncomeTaxLiabi"/>
            <w:bookmarkEnd w:id="686"/>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deferred income tax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(391,634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(563,533</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bookmarkStart w:id="687" w:name="xdx_405_eus-gaap--DeferredTaxAssetsLiabi"/>
            <w:bookmarkEnd w:id="687"/>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 (liability)</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688" w:name="xdx_8A2_zhD2tqGGhjBh"/>
      <w:bookmarkEnd w:id="688"/>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89" w:name="xdx_80D_eus-gaap--LesseeOperatingLeasesT"/>
      <w:bookmarkEnd w:id="689"/>
      <w:r>
        <w:rPr>
          <w:rFonts w:ascii="Times New Roman;Times;Serif" w:hAnsi="Times New Roman;Times;Serif"/>
          <w:b/>
          <w:i w:val="false"/>
          <w:caps w:val="false"/>
          <w:smallCaps w:val="false"/>
          <w:sz w:val="20"/>
        </w:rPr>
        <w:t xml:space="preserve">(14) </w:t>
      </w:r>
      <w:bookmarkStart w:id="690" w:name="xdx_825_zKgaOT7QrYPd"/>
      <w:bookmarkEnd w:id="690"/>
      <w:r>
        <w:rPr>
          <w:rFonts w:ascii="Times New Roman;Times;Serif" w:hAnsi="Times New Roman;Times;Serif"/>
          <w:b/>
          <w:i w:val="false"/>
          <w:caps w:val="false"/>
          <w:smallCaps w:val="false"/>
          <w:sz w:val="20"/>
        </w:rPr>
        <w:t>Leases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2019, the Company executed a lease, which included expansion and renovation of previously leased space for its headquarters in Kansas City, Kansas. The lease has a </w:t>
      </w:r>
      <w:bookmarkStart w:id="691" w:name="xdx_907_eus-gaap--LesseeOperatingLeaseTe"/>
      <w:bookmarkEnd w:id="691"/>
      <w:r>
        <w:rPr>
          <w:rFonts w:ascii="Times New Roman;Times;Serif" w:hAnsi="Times New Roman;Times;Serif"/>
          <w:b w:val="false"/>
          <w:i w:val="false"/>
          <w:caps w:val="false"/>
          <w:smallCaps w:val="false"/>
          <w:sz w:val="20"/>
        </w:rPr>
        <w:t>five-year term that commenced on May 1, 2020, the date of receipt of a Certificate of Occupancy for the expanded and renovated space. Under this lease, total rent ranges from $</w:t>
      </w:r>
      <w:bookmarkStart w:id="692" w:name="xdx_904_eus-gaap--PaymentsForRent_c20190"/>
      <w:bookmarkEnd w:id="692"/>
      <w:r>
        <w:rPr>
          <w:rFonts w:ascii="Times New Roman;Times;Serif" w:hAnsi="Times New Roman;Times;Serif"/>
          <w:b w:val="false"/>
          <w:i w:val="false"/>
          <w:caps w:val="false"/>
          <w:smallCaps w:val="false"/>
          <w:sz w:val="20"/>
        </w:rPr>
        <w:t>30,453 to $</w:t>
      </w:r>
      <w:bookmarkStart w:id="693" w:name="xdx_900_eus-gaap--PaymentsForRent_c20190"/>
      <w:bookmarkEnd w:id="693"/>
      <w:r>
        <w:rPr>
          <w:rFonts w:ascii="Times New Roman;Times;Serif" w:hAnsi="Times New Roman;Times;Serif"/>
          <w:b w:val="false"/>
          <w:i w:val="false"/>
          <w:caps w:val="false"/>
          <w:smallCaps w:val="false"/>
          <w:sz w:val="20"/>
        </w:rPr>
        <w:t>33,145 per month over the lease term. This lease provided for a lease incentive by the lessor of tenant improvements totaling $</w:t>
      </w:r>
      <w:bookmarkStart w:id="694" w:name="xdx_90C_eus-gaap--TenantImprovements_iI_"/>
      <w:bookmarkEnd w:id="694"/>
      <w:r>
        <w:rPr>
          <w:rFonts w:ascii="Times New Roman;Times;Serif" w:hAnsi="Times New Roman;Times;Serif"/>
          <w:b w:val="false"/>
          <w:i w:val="false"/>
          <w:caps w:val="false"/>
          <w:smallCaps w:val="false"/>
          <w:sz w:val="20"/>
        </w:rPr>
        <w:t>201,600.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2021, the Company executed a three-year lease for office space in New Jersey from a related party, as further described in Note 17. The base rent for this lease, which expired on December 31, 2023, was $</w:t>
      </w:r>
      <w:bookmarkStart w:id="695" w:name="xdx_909_eus-gaap--PaymentsForRent_c20230"/>
      <w:bookmarkEnd w:id="695"/>
      <w:r>
        <w:rPr>
          <w:rFonts w:ascii="Times New Roman;Times;Serif" w:hAnsi="Times New Roman;Times;Serif"/>
          <w:b w:val="false"/>
          <w:i w:val="false"/>
          <w:caps w:val="false"/>
          <w:smallCaps w:val="false"/>
          <w:sz w:val="20"/>
        </w:rPr>
        <w:t>3,000 per month.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96" w:name="xdx_908_eus-gaap--LesseeOperatingLeaseDe"/>
      <w:bookmarkEnd w:id="696"/>
      <w:r>
        <w:rPr>
          <w:rFonts w:ascii="Times New Roman;Times;Serif" w:hAnsi="Times New Roman;Times;Serif"/>
          <w:b w:val="false"/>
          <w:i w:val="false"/>
          <w:caps w:val="false"/>
          <w:smallCaps w:val="false"/>
          <w:sz w:val="20"/>
        </w:rPr>
        <w:t>In April 2020, the Company entered into a 60-month lease agreement for office furniture under a lease classified as a financing lease as title of the furniture transfers to the Company at the end of the lease term. Monthly lease payments are $</w:t>
      </w:r>
      <w:bookmarkStart w:id="697" w:name="xdx_90B_eus-gaap--PaymentsForRent_c20200"/>
      <w:bookmarkEnd w:id="697"/>
      <w:r>
        <w:rPr>
          <w:rFonts w:ascii="Times New Roman;Times;Serif" w:hAnsi="Times New Roman;Times;Serif"/>
          <w:b w:val="false"/>
          <w:i w:val="false"/>
          <w:caps w:val="false"/>
          <w:smallCaps w:val="false"/>
          <w:sz w:val="20"/>
        </w:rPr>
        <w:t xml:space="preserve">1,491. The leased furniture is amortized on a straight-line basis over 7 years. The imputed interest rate relating to the lease obligation is </w:t>
      </w:r>
      <w:bookmarkStart w:id="698" w:name="xdx_901_ecustom--PercentageOfImputedInte"/>
      <w:bookmarkEnd w:id="698"/>
      <w:r>
        <w:rPr>
          <w:rFonts w:ascii="Times New Roman;Times;Serif" w:hAnsi="Times New Roman;Times;Serif"/>
          <w:b w:val="false"/>
          <w:i w:val="false"/>
          <w:caps w:val="false"/>
          <w:smallCaps w:val="false"/>
          <w:sz w:val="20"/>
        </w:rPr>
        <w:t>6.12% and the maturity date is March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99" w:name="xdx_89E_eus-gaap--LeaseCostTableTextBloc"/>
      <w:bookmarkEnd w:id="699"/>
      <w:r>
        <w:rPr>
          <w:rFonts w:ascii="Times New Roman;Times;Serif" w:hAnsi="Times New Roman;Times;Serif"/>
          <w:b w:val="false"/>
          <w:i w:val="false"/>
          <w:caps w:val="false"/>
          <w:smallCaps w:val="false"/>
          <w:sz w:val="20"/>
        </w:rPr>
        <w:t>The components of lease cost for the years ended December 31, 2024 and 2023 were as follows:</w:t>
      </w:r>
    </w:p>
    <w:p>
      <w:pPr>
        <w:pStyle w:val="TextBody"/>
        <w:bidi w:val="0"/>
        <w:jc w:val="both"/>
        <w:rPr>
          <w:rFonts w:ascii="Times New Roman;Times;Serif" w:hAnsi="Times New Roman;Times;Serif"/>
          <w:b w:val="false"/>
          <w:i w:val="false"/>
          <w:caps w:val="false"/>
          <w:smallCaps w:val="false"/>
          <w:sz w:val="20"/>
        </w:rPr>
      </w:pPr>
      <w:bookmarkStart w:id="700" w:name="xdx_8B0_z29TUnfRdWsf"/>
      <w:bookmarkEnd w:id="700"/>
      <w:r>
        <w:rPr>
          <w:rFonts w:ascii="Times New Roman;Times;Serif" w:hAnsi="Times New Roman;Times;Serif"/>
          <w:b w:val="false"/>
          <w:i w:val="false"/>
          <w:caps w:val="false"/>
          <w:smallCaps w:val="false"/>
          <w:sz w:val="20"/>
        </w:rPr>
        <w:t>Summary of Components of Lease Cost  </w:t>
      </w:r>
    </w:p>
    <w:tbl>
      <w:tblPr>
        <w:tblW w:w="5425" w:type="dxa"/>
        <w:jc w:val="left"/>
        <w:tblInd w:w="0" w:type="dxa"/>
        <w:tblLayout w:type="fixed"/>
        <w:tblCellMar>
          <w:top w:w="0" w:type="dxa"/>
          <w:left w:w="0" w:type="dxa"/>
          <w:bottom w:w="0" w:type="dxa"/>
          <w:right w:w="0" w:type="dxa"/>
        </w:tblCellMar>
      </w:tblPr>
      <w:tblGrid>
        <w:gridCol w:w="3290"/>
        <w:gridCol w:w="60"/>
        <w:gridCol w:w="140"/>
        <w:gridCol w:w="800"/>
        <w:gridCol w:w="60"/>
        <w:gridCol w:w="60"/>
        <w:gridCol w:w="140"/>
        <w:gridCol w:w="800"/>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1" w:name="xdx_494_20240101__20241231_zJQoSRBrXk81"/>
            <w:bookmarkEnd w:id="701"/>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2" w:name="xdx_498_20230101__20231231_z9Xttwkn6OJa"/>
            <w:bookmarkEnd w:id="702"/>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bookmarkStart w:id="703" w:name="xdx_40F_eus-gaap--OperatingLeaseCost_maL"/>
            <w:bookmarkEnd w:id="703"/>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338,787</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0"/>
              <w:jc w:val="left"/>
              <w:rPr/>
            </w:pPr>
            <w:r>
              <w:rPr/>
              <w:t> </w:t>
            </w:r>
            <w:bookmarkStart w:id="704" w:name="xdx_40A_eus-gaap--FinanceLeaseRightOfUse"/>
            <w:bookmarkEnd w:id="704"/>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10,990</w:t>
            </w:r>
          </w:p>
        </w:tc>
        <w:tc>
          <w:tcPr>
            <w:tcW w:w="75" w:type="dxa"/>
            <w:tcBorders/>
            <w:shd w:fill="CCEEFF" w:val="clear"/>
            <w:vAlign w:val="center"/>
          </w:tcPr>
          <w:p>
            <w:pPr>
              <w:pStyle w:val="TableContents"/>
              <w:bidi w:val="0"/>
              <w:spacing w:before="0" w:after="283"/>
              <w:ind w:left="0" w:right="0" w:hanging="0"/>
              <w:jc w:val="left"/>
              <w:rPr/>
            </w:pPr>
            <w:r>
              <w:rPr/>
              <w:t> </w:t>
            </w:r>
            <w:bookmarkStart w:id="705" w:name="xdx_40C_eus-gaap--FinanceLeaseInterestEx"/>
            <w:bookmarkEnd w:id="705"/>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1,853</w:t>
            </w:r>
          </w:p>
        </w:tc>
        <w:tc>
          <w:tcPr>
            <w:tcW w:w="75" w:type="dxa"/>
            <w:tcBorders/>
            <w:shd w:fill="FFFFFF" w:val="clear"/>
            <w:vAlign w:val="center"/>
          </w:tcPr>
          <w:p>
            <w:pPr>
              <w:pStyle w:val="TableContents"/>
              <w:bidi w:val="0"/>
              <w:spacing w:before="0" w:after="283"/>
              <w:ind w:left="0" w:right="0" w:hanging="0"/>
              <w:jc w:val="left"/>
              <w:rPr/>
            </w:pPr>
            <w:r>
              <w:rPr/>
              <w:t> </w:t>
            </w:r>
            <w:bookmarkStart w:id="706" w:name="xdx_40F_ecustom--FinanceLeaseCost_iT_maL"/>
            <w:bookmarkEnd w:id="706"/>
          </w:p>
        </w:tc>
      </w:tr>
      <w:tr>
        <w:trPr/>
        <w:tc>
          <w:tcPr>
            <w:tcW w:w="3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finance lease cost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12,843</w:t>
            </w:r>
          </w:p>
        </w:tc>
        <w:tc>
          <w:tcPr>
            <w:tcW w:w="75" w:type="dxa"/>
            <w:tcBorders/>
            <w:shd w:fill="CCEEFF" w:val="clear"/>
            <w:vAlign w:val="center"/>
          </w:tcPr>
          <w:p>
            <w:pPr>
              <w:pStyle w:val="TableContents"/>
              <w:bidi w:val="0"/>
              <w:spacing w:before="0" w:after="283"/>
              <w:ind w:left="0" w:right="0" w:hanging="0"/>
              <w:jc w:val="left"/>
              <w:rPr/>
            </w:pPr>
            <w:r>
              <w:rPr/>
              <w:t> </w:t>
            </w:r>
            <w:bookmarkStart w:id="707" w:name="xdx_407_eus-gaap--LeaseCost_iT_mtLCzXzT_"/>
            <w:bookmarkEnd w:id="707"/>
          </w:p>
        </w:tc>
      </w:tr>
      <w:tr>
        <w:trPr/>
        <w:tc>
          <w:tcPr>
            <w:tcW w:w="3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351,630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08" w:name="xdx_8A6_z7CeadFIFCC9"/>
      <w:bookmarkEnd w:id="70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09" w:name="xdx_89C_ecustom--ScheduleOfLeaseAssetsAn"/>
      <w:bookmarkEnd w:id="709"/>
      <w:r>
        <w:rPr>
          <w:rFonts w:ascii="Times New Roman;Times;Serif" w:hAnsi="Times New Roman;Times;Serif"/>
          <w:b w:val="false"/>
          <w:i w:val="false"/>
          <w:caps w:val="false"/>
          <w:smallCaps w:val="false"/>
          <w:sz w:val="20"/>
        </w:rPr>
        <w:t>Amounts reported in the consolidated balance sheets as of December 31, 2024 and 2023 were as follows:</w:t>
      </w:r>
    </w:p>
    <w:p>
      <w:pPr>
        <w:pStyle w:val="TextBody"/>
        <w:bidi w:val="0"/>
        <w:jc w:val="left"/>
        <w:rPr>
          <w:rFonts w:ascii="Times New Roman;Times;Serif" w:hAnsi="Times New Roman;Times;Serif"/>
          <w:b w:val="false"/>
          <w:i w:val="false"/>
          <w:caps w:val="false"/>
          <w:smallCaps w:val="false"/>
          <w:sz w:val="20"/>
        </w:rPr>
      </w:pPr>
      <w:bookmarkStart w:id="710" w:name="xdx_8BB_zBrS9YdmUG71"/>
      <w:bookmarkEnd w:id="710"/>
      <w:r>
        <w:rPr>
          <w:rFonts w:ascii="Times New Roman;Times;Serif" w:hAnsi="Times New Roman;Times;Serif"/>
          <w:b/>
          <w:i w:val="false"/>
          <w:caps w:val="false"/>
          <w:smallCaps w:val="false"/>
          <w:sz w:val="20"/>
        </w:rPr>
        <w:t>Summary of Lease Reported in Consolidated Balance Sheets </w:t>
      </w:r>
      <w:r>
        <w:rPr>
          <w:rFonts w:ascii="Times New Roman;Times;Serif" w:hAnsi="Times New Roman;Times;Serif"/>
          <w:b w:val="false"/>
          <w:i w:val="false"/>
          <w:caps w:val="false"/>
          <w:smallCaps w:val="false"/>
          <w:sz w:val="20"/>
        </w:rPr>
        <w:t> </w:t>
      </w:r>
    </w:p>
    <w:tbl>
      <w:tblPr>
        <w:tblW w:w="6880" w:type="dxa"/>
        <w:jc w:val="left"/>
        <w:tblInd w:w="0" w:type="dxa"/>
        <w:tblLayout w:type="fixed"/>
        <w:tblCellMar>
          <w:top w:w="0" w:type="dxa"/>
          <w:left w:w="0" w:type="dxa"/>
          <w:bottom w:w="0" w:type="dxa"/>
          <w:right w:w="0" w:type="dxa"/>
        </w:tblCellMar>
      </w:tblPr>
      <w:tblGrid>
        <w:gridCol w:w="3875"/>
        <w:gridCol w:w="60"/>
        <w:gridCol w:w="140"/>
        <w:gridCol w:w="800"/>
        <w:gridCol w:w="95"/>
        <w:gridCol w:w="60"/>
        <w:gridCol w:w="140"/>
        <w:gridCol w:w="800"/>
        <w:gridCol w:w="9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1" w:name="xdx_49D_20241231_zrFWzR3GRhHj"/>
            <w:bookmarkEnd w:id="711"/>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2" w:name="xdx_49B_20231231_zQpupBhbEySa"/>
            <w:bookmarkEnd w:id="712"/>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10" w:type="dxa"/>
            <w:tcBorders/>
            <w:shd w:fill="CCEEFF" w:val="clear"/>
            <w:vAlign w:val="center"/>
          </w:tcPr>
          <w:p>
            <w:pPr>
              <w:pStyle w:val="TableContents"/>
              <w:bidi w:val="0"/>
              <w:spacing w:before="0" w:after="283"/>
              <w:ind w:left="0" w:right="0" w:firstLine="200"/>
              <w:jc w:val="left"/>
              <w:rPr/>
            </w:pPr>
            <w:r>
              <w:rPr/>
              <w:t> </w:t>
            </w:r>
            <w:bookmarkStart w:id="713" w:name="xdx_405_eus-gaap--OperatingLeaseRightOfU"/>
            <w:bookmarkEnd w:id="713"/>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366,877</w:t>
            </w:r>
          </w:p>
        </w:tc>
        <w:tc>
          <w:tcPr>
            <w:tcW w:w="910" w:type="dxa"/>
            <w:tcBorders/>
            <w:shd w:fill="FFFFFF" w:val="clear"/>
            <w:vAlign w:val="center"/>
          </w:tcPr>
          <w:p>
            <w:pPr>
              <w:pStyle w:val="TableContents"/>
              <w:bidi w:val="0"/>
              <w:spacing w:before="0" w:after="283"/>
              <w:ind w:left="0" w:right="0" w:firstLine="200"/>
              <w:jc w:val="left"/>
              <w:rPr/>
            </w:pPr>
            <w:r>
              <w:rPr/>
              <w:t> </w:t>
            </w:r>
            <w:bookmarkStart w:id="714" w:name="xdx_403_eus-gaap--OperatingLeaseLiabilit"/>
            <w:bookmarkEnd w:id="714"/>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358,085</w:t>
            </w:r>
          </w:p>
        </w:tc>
        <w:tc>
          <w:tcPr>
            <w:tcW w:w="910" w:type="dxa"/>
            <w:tcBorders/>
            <w:shd w:fill="CCEEFF" w:val="clear"/>
            <w:vAlign w:val="center"/>
          </w:tcPr>
          <w:p>
            <w:pPr>
              <w:pStyle w:val="TableContents"/>
              <w:bidi w:val="0"/>
              <w:spacing w:before="0" w:after="283"/>
              <w:ind w:left="0" w:right="0" w:firstLine="200"/>
              <w:jc w:val="left"/>
              <w:rPr/>
            </w:pPr>
            <w:r>
              <w:rPr/>
              <w:t> </w:t>
            </w:r>
            <w:bookmarkStart w:id="715" w:name="xdx_406_eus-gaap--OperatingLeaseLiabilit"/>
            <w:bookmarkEnd w:id="715"/>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130,663</w:t>
            </w:r>
          </w:p>
        </w:tc>
        <w:tc>
          <w:tcPr>
            <w:tcW w:w="910" w:type="dxa"/>
            <w:tcBorders/>
            <w:shd w:fill="FFFFFF" w:val="clear"/>
            <w:vAlign w:val="center"/>
          </w:tcPr>
          <w:p>
            <w:pPr>
              <w:pStyle w:val="TableContents"/>
              <w:bidi w:val="0"/>
              <w:spacing w:before="0" w:after="283"/>
              <w:ind w:left="0" w:right="0" w:firstLine="600"/>
              <w:jc w:val="left"/>
              <w:rPr/>
            </w:pPr>
            <w:r>
              <w:rPr/>
              <w:t> </w:t>
            </w:r>
            <w:bookmarkStart w:id="716" w:name="xdx_40B_eus-gaap--OperatingLeaseLiabilit"/>
            <w:bookmarkEnd w:id="716"/>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488,748</w:t>
            </w:r>
          </w:p>
        </w:tc>
        <w:tc>
          <w:tcPr>
            <w:tcW w:w="9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10" w:type="dxa"/>
            <w:tcBorders/>
            <w:shd w:fill="CCEEFF" w:val="clear"/>
            <w:vAlign w:val="center"/>
          </w:tcPr>
          <w:p>
            <w:pPr>
              <w:pStyle w:val="TableContents"/>
              <w:bidi w:val="0"/>
              <w:spacing w:before="0" w:after="283"/>
              <w:ind w:left="0" w:right="0" w:firstLine="400"/>
              <w:jc w:val="left"/>
              <w:rPr/>
            </w:pPr>
            <w:r>
              <w:rPr/>
              <w:t> </w:t>
            </w:r>
            <w:bookmarkStart w:id="717" w:name="xdx_40A_eus-gaap--PropertyPlantAndEquipm"/>
            <w:bookmarkEnd w:id="717"/>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76,928</w:t>
            </w:r>
          </w:p>
        </w:tc>
        <w:tc>
          <w:tcPr>
            <w:tcW w:w="910" w:type="dxa"/>
            <w:tcBorders/>
            <w:shd w:fill="FFFFFF" w:val="clear"/>
            <w:vAlign w:val="center"/>
          </w:tcPr>
          <w:p>
            <w:pPr>
              <w:pStyle w:val="TableContents"/>
              <w:bidi w:val="0"/>
              <w:spacing w:before="0" w:after="283"/>
              <w:ind w:left="0" w:right="0" w:firstLine="400"/>
              <w:jc w:val="left"/>
              <w:rPr/>
            </w:pPr>
            <w:r>
              <w:rPr/>
              <w:t> </w:t>
            </w:r>
            <w:bookmarkStart w:id="718" w:name="xdx_406_eus-gaap--PropertyPlantAndEquipm"/>
            <w:bookmarkEnd w:id="718"/>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(60,373</w:t>
            </w:r>
          </w:p>
        </w:tc>
        <w:tc>
          <w:tcPr>
            <w:tcW w:w="910" w:type="dxa"/>
            <w:tcBorders/>
            <w:shd w:fill="CCEEFF" w:val="clear"/>
            <w:vAlign w:val="center"/>
          </w:tcPr>
          <w:p>
            <w:pPr>
              <w:pStyle w:val="TableContents"/>
              <w:bidi w:val="0"/>
              <w:spacing w:before="0" w:after="283"/>
              <w:ind w:left="0" w:right="0" w:firstLine="800"/>
              <w:jc w:val="left"/>
              <w:rPr>
                <w:rFonts w:ascii="Times New Roman;Times;Serif" w:hAnsi="Times New Roman;Times;Serif"/>
              </w:rPr>
            </w:pPr>
            <w:r>
              <w:rPr>
                <w:rFonts w:ascii="Times New Roman;Times;Serif" w:hAnsi="Times New Roman;Times;Serif"/>
              </w:rPr>
              <w:t>)</w:t>
            </w:r>
            <w:bookmarkStart w:id="719" w:name="xdx_40D_eus-gaap--PropertyPlantAndEquipm"/>
            <w:bookmarkEnd w:id="719"/>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16,555</w:t>
            </w:r>
          </w:p>
        </w:tc>
        <w:tc>
          <w:tcPr>
            <w:tcW w:w="9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installments of obligations under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10" w:type="dxa"/>
            <w:tcBorders/>
            <w:shd w:fill="FFFFFF" w:val="clear"/>
            <w:vAlign w:val="center"/>
          </w:tcPr>
          <w:p>
            <w:pPr>
              <w:pStyle w:val="TableContents"/>
              <w:bidi w:val="0"/>
              <w:spacing w:before="0" w:after="283"/>
              <w:ind w:left="0" w:right="0" w:firstLine="200"/>
              <w:jc w:val="left"/>
              <w:rPr/>
            </w:pPr>
            <w:r>
              <w:rPr/>
              <w:t> </w:t>
            </w:r>
            <w:bookmarkStart w:id="720" w:name="xdx_403_eus-gaap--FinanceLeaseLiabilityC"/>
            <w:bookmarkEnd w:id="720"/>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liability,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17,057</w:t>
            </w:r>
          </w:p>
        </w:tc>
        <w:tc>
          <w:tcPr>
            <w:tcW w:w="910" w:type="dxa"/>
            <w:tcBorders/>
            <w:shd w:fill="CCEEFF" w:val="clear"/>
            <w:vAlign w:val="center"/>
          </w:tcPr>
          <w:p>
            <w:pPr>
              <w:pStyle w:val="TableContents"/>
              <w:bidi w:val="0"/>
              <w:spacing w:before="0" w:after="283"/>
              <w:ind w:left="0" w:right="0" w:firstLine="200"/>
              <w:jc w:val="left"/>
              <w:rPr/>
            </w:pPr>
            <w:r>
              <w:rPr/>
              <w:t> </w:t>
            </w:r>
            <w:bookmarkStart w:id="721" w:name="xdx_405_eus-gaap--FinanceLeaseLiabilityN"/>
            <w:bookmarkEnd w:id="721"/>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liability, net of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4,436</w:t>
            </w:r>
          </w:p>
        </w:tc>
        <w:tc>
          <w:tcPr>
            <w:tcW w:w="910" w:type="dxa"/>
            <w:tcBorders/>
            <w:shd w:fill="FFFFFF" w:val="clear"/>
            <w:vAlign w:val="center"/>
          </w:tcPr>
          <w:p>
            <w:pPr>
              <w:pStyle w:val="TableContents"/>
              <w:bidi w:val="0"/>
              <w:spacing w:before="0" w:after="283"/>
              <w:ind w:left="0" w:right="0" w:firstLine="600"/>
              <w:jc w:val="left"/>
              <w:rPr/>
            </w:pPr>
            <w:r>
              <w:rPr/>
              <w:t> </w:t>
            </w:r>
            <w:bookmarkStart w:id="722" w:name="xdx_40C_eus-gaap--FinanceLeaseLiability_"/>
            <w:bookmarkEnd w:id="722"/>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finance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21,493</w:t>
            </w:r>
          </w:p>
        </w:tc>
        <w:tc>
          <w:tcPr>
            <w:tcW w:w="9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23" w:name="xdx_8AF_zU1DBdOqOVVk"/>
      <w:bookmarkEnd w:id="72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724" w:name="xdx_89D_eus-gaap--ScheduleOfCashFlowSupp"/>
      <w:bookmarkEnd w:id="724"/>
      <w:r>
        <w:rPr>
          <w:rFonts w:ascii="Times New Roman;Times;Serif" w:hAnsi="Times New Roman;Times;Serif"/>
          <w:b w:val="false"/>
          <w:i w:val="false"/>
          <w:caps w:val="false"/>
          <w:smallCaps w:val="false"/>
          <w:sz w:val="20"/>
        </w:rPr>
        <w:t>Other information relating to leases as of December 31, 2024 and 2023 was as follows:</w:t>
      </w:r>
    </w:p>
    <w:p>
      <w:pPr>
        <w:pStyle w:val="TextBody"/>
        <w:bidi w:val="0"/>
        <w:jc w:val="both"/>
        <w:rPr>
          <w:rFonts w:ascii="Times New Roman;Times;Serif" w:hAnsi="Times New Roman;Times;Serif"/>
          <w:b w:val="false"/>
          <w:i w:val="false"/>
          <w:caps w:val="false"/>
          <w:smallCaps w:val="false"/>
          <w:sz w:val="20"/>
        </w:rPr>
      </w:pPr>
      <w:bookmarkStart w:id="725" w:name="xdx_8B3_zEko8f8iMpYj"/>
      <w:bookmarkEnd w:id="725"/>
      <w:r>
        <w:rPr>
          <w:rFonts w:ascii="Times New Roman;Times;Serif" w:hAnsi="Times New Roman;Times;Serif"/>
          <w:b w:val="false"/>
          <w:i w:val="false"/>
          <w:caps w:val="false"/>
          <w:smallCaps w:val="false"/>
          <w:sz w:val="20"/>
        </w:rPr>
        <w:t>Summary of Other Information Relating to Leases  </w:t>
      </w:r>
    </w:p>
    <w:tbl>
      <w:tblPr>
        <w:tblW w:w="9800" w:type="dxa"/>
        <w:jc w:val="left"/>
        <w:tblInd w:w="0" w:type="dxa"/>
        <w:tblLayout w:type="fixed"/>
        <w:tblCellMar>
          <w:top w:w="0" w:type="dxa"/>
          <w:left w:w="0" w:type="dxa"/>
          <w:bottom w:w="28" w:type="dxa"/>
          <w:right w:w="0" w:type="dxa"/>
        </w:tblCellMar>
      </w:tblPr>
      <w:tblGrid>
        <w:gridCol w:w="6860"/>
        <w:gridCol w:w="60"/>
        <w:gridCol w:w="60"/>
        <w:gridCol w:w="875"/>
        <w:gridCol w:w="215"/>
        <w:gridCol w:w="60"/>
        <w:gridCol w:w="60"/>
        <w:gridCol w:w="980"/>
        <w:gridCol w:w="630"/>
      </w:tblGrid>
      <w:tr>
        <w:trPr/>
        <w:tc>
          <w:tcPr>
            <w:tcW w:w="686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30" w:type="dxa"/>
            <w:tcBorders/>
            <w:tcMar>
              <w:bottom w:w="0" w:type="dxa"/>
            </w:tcMar>
            <w:vAlign w:val="center"/>
          </w:tcPr>
          <w:p>
            <w:pPr>
              <w:pStyle w:val="TableContents"/>
              <w:bidi w:val="0"/>
              <w:spacing w:before="0" w:after="283"/>
              <w:jc w:val="left"/>
              <w:rPr/>
            </w:pPr>
            <w:r>
              <w:rPr/>
              <w:t> </w:t>
            </w:r>
          </w:p>
        </w:tc>
      </w:tr>
      <w:tr>
        <w:trPr/>
        <w:tc>
          <w:tcPr>
            <w:tcW w:w="68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to ROU assets resulting from reductions to lease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30"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68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26" w:name="xdx_98C_ecustom--OperatingLeasesReductio"/>
            <w:bookmarkEnd w:id="726"/>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267,886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727" w:name="xdx_98D_ecustom--OperatingLeasesReductio"/>
            <w:bookmarkEnd w:id="727"/>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263,741</w:t>
            </w:r>
          </w:p>
        </w:tc>
        <w:tc>
          <w:tcPr>
            <w:tcW w:w="630" w:type="dxa"/>
            <w:tcBorders/>
            <w:shd w:fill="FFFFFF" w:val="clear"/>
            <w:tcMar>
              <w:bottom w:w="0" w:type="dxa"/>
            </w:tcMar>
            <w:vAlign w:val="center"/>
          </w:tcPr>
          <w:p>
            <w:pPr>
              <w:pStyle w:val="TableContents"/>
              <w:bidi w:val="0"/>
              <w:spacing w:before="0" w:after="283"/>
              <w:ind w:left="0" w:right="0" w:firstLine="400"/>
              <w:jc w:val="left"/>
              <w:rPr/>
            </w:pPr>
            <w:r>
              <w:rPr/>
              <w:t> </w:t>
            </w:r>
          </w:p>
        </w:tc>
      </w:tr>
      <w:tr>
        <w:trPr/>
        <w:tc>
          <w:tcPr>
            <w:tcW w:w="68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28" w:name="xdx_984_ecustom--FinanceLeasesReductions"/>
            <w:bookmarkEnd w:id="728"/>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729" w:name="xdx_98A_ecustom--FinanceLeasesReductions"/>
            <w:bookmarkEnd w:id="729"/>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10,990</w:t>
            </w:r>
          </w:p>
        </w:tc>
        <w:tc>
          <w:tcPr>
            <w:tcW w:w="630" w:type="dxa"/>
            <w:tcBorders/>
            <w:shd w:fill="CCEEFF" w:val="clear"/>
            <w:tcMar>
              <w:bottom w:w="0" w:type="dxa"/>
            </w:tcMar>
            <w:vAlign w:val="center"/>
          </w:tcPr>
          <w:p>
            <w:pPr>
              <w:pStyle w:val="TableContents"/>
              <w:bidi w:val="0"/>
              <w:spacing w:before="0" w:after="283"/>
              <w:jc w:val="left"/>
              <w:rPr/>
            </w:pPr>
            <w:r>
              <w:rPr/>
              <w:t> </w:t>
            </w:r>
          </w:p>
        </w:tc>
      </w:tr>
      <w:tr>
        <w:trPr/>
        <w:tc>
          <w:tcPr>
            <w:tcW w:w="68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30" w:type="dxa"/>
            <w:tcBorders/>
            <w:shd w:fill="FFFFFF" w:val="clear"/>
            <w:tcMar>
              <w:bottom w:w="0" w:type="dxa"/>
            </w:tcMar>
            <w:vAlign w:val="center"/>
          </w:tcPr>
          <w:p>
            <w:pPr>
              <w:pStyle w:val="TableContents"/>
              <w:bidi w:val="0"/>
              <w:spacing w:before="0" w:after="283"/>
              <w:ind w:left="0" w:right="0" w:firstLine="400"/>
              <w:jc w:val="left"/>
              <w:rPr/>
            </w:pPr>
            <w:r>
              <w:rPr/>
              <w:t> </w:t>
            </w:r>
          </w:p>
        </w:tc>
      </w:tr>
      <w:tr>
        <w:trPr/>
        <w:tc>
          <w:tcPr>
            <w:tcW w:w="68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bookmarkStart w:id="730" w:name="xdx_905_eus-gaap--OperatingLeaseWeighted"/>
            <w:bookmarkEnd w:id="730"/>
            <w:r>
              <w:rPr>
                <w:rFonts w:ascii="Times New Roman;Times;Serif" w:hAnsi="Times New Roman;Times;Serif"/>
                <w:sz w:val="20"/>
              </w:rPr>
              <w:t xml:space="preserve">5 months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bookmarkStart w:id="731" w:name="xdx_907_eus-gaap--OperatingLeaseWeighted"/>
            <w:bookmarkEnd w:id="731"/>
            <w:r>
              <w:rPr>
                <w:rFonts w:ascii="Times New Roman;Times;Serif" w:hAnsi="Times New Roman;Times;Serif"/>
                <w:sz w:val="20"/>
              </w:rPr>
              <w:t xml:space="preserve">17 months </w:t>
            </w:r>
          </w:p>
        </w:tc>
        <w:tc>
          <w:tcPr>
            <w:tcW w:w="630"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68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bookmarkStart w:id="732" w:name="xdx_905_eus-gaap--FinanceLeaseWeightedAv"/>
            <w:bookmarkEnd w:id="732"/>
            <w:r>
              <w:rPr>
                <w:rFonts w:ascii="Times New Roman;Times;Serif" w:hAnsi="Times New Roman;Times;Serif"/>
                <w:sz w:val="20"/>
              </w:rPr>
              <w:t xml:space="preserve">3 months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bookmarkStart w:id="733" w:name="xdx_90C_eus-gaap--FinanceLeaseWeightedAv"/>
            <w:bookmarkEnd w:id="733"/>
            <w:r>
              <w:rPr>
                <w:rFonts w:ascii="Times New Roman;Times;Serif" w:hAnsi="Times New Roman;Times;Serif"/>
                <w:sz w:val="20"/>
              </w:rPr>
              <w:t xml:space="preserve">15 months </w:t>
            </w:r>
          </w:p>
        </w:tc>
        <w:tc>
          <w:tcPr>
            <w:tcW w:w="630" w:type="dxa"/>
            <w:tcBorders/>
            <w:shd w:fill="FFFFFF" w:val="clear"/>
            <w:tcMar>
              <w:bottom w:w="0" w:type="dxa"/>
            </w:tcMar>
            <w:vAlign w:val="center"/>
          </w:tcPr>
          <w:p>
            <w:pPr>
              <w:pStyle w:val="TableContents"/>
              <w:bidi w:val="0"/>
              <w:spacing w:before="0" w:after="283"/>
              <w:jc w:val="left"/>
              <w:rPr/>
            </w:pPr>
            <w:r>
              <w:rPr/>
              <w:t> </w:t>
            </w:r>
          </w:p>
        </w:tc>
      </w:tr>
      <w:tr>
        <w:trPr/>
        <w:tc>
          <w:tcPr>
            <w:tcW w:w="68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30" w:type="dxa"/>
            <w:tcBorders/>
            <w:shd w:fill="CCEEFF" w:val="clear"/>
            <w:tcMar>
              <w:bottom w:w="0" w:type="dxa"/>
            </w:tcMar>
            <w:vAlign w:val="center"/>
          </w:tcPr>
          <w:p>
            <w:pPr>
              <w:pStyle w:val="TableContents"/>
              <w:bidi w:val="0"/>
              <w:spacing w:before="0" w:after="283"/>
              <w:ind w:left="0" w:right="0" w:firstLine="400"/>
              <w:jc w:val="left"/>
              <w:rPr/>
            </w:pPr>
            <w:r>
              <w:rPr/>
              <w:t> </w:t>
            </w:r>
          </w:p>
        </w:tc>
      </w:tr>
      <w:tr>
        <w:trPr/>
        <w:tc>
          <w:tcPr>
            <w:tcW w:w="686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734" w:name="xdx_90E_eus-gaap--OperatingLeaseWeighted"/>
            <w:bookmarkEnd w:id="734"/>
            <w:r>
              <w:rPr>
                <w:rFonts w:ascii="Times New Roman;Times;Serif" w:hAnsi="Times New Roman;Times;Serif"/>
              </w:rPr>
              <w:t>11.76</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735" w:name="xdx_905_eus-gaap--OperatingLeaseWeighted"/>
            <w:bookmarkEnd w:id="735"/>
            <w:r>
              <w:rPr>
                <w:rFonts w:ascii="Times New Roman;Times;Serif" w:hAnsi="Times New Roman;Times;Serif"/>
              </w:rPr>
              <w:t>11.76</w:t>
            </w:r>
          </w:p>
        </w:tc>
        <w:tc>
          <w:tcPr>
            <w:tcW w:w="630" w:type="dxa"/>
            <w:tcBorders/>
            <w:shd w:fill="FFFFFF" w:val="clear"/>
            <w:tcMar>
              <w:bottom w:w="0" w:type="dxa"/>
            </w:tcMar>
            <w:vAlign w:val="center"/>
          </w:tcPr>
          <w:p>
            <w:pPr>
              <w:pStyle w:val="TableContents"/>
              <w:bidi w:val="0"/>
              <w:spacing w:before="0" w:after="283"/>
              <w:ind w:left="0" w:right="0" w:firstLine="400"/>
              <w:jc w:val="left"/>
              <w:rPr>
                <w:rFonts w:ascii="Times New Roman;Times;Serif" w:hAnsi="Times New Roman;Times;Serif"/>
              </w:rPr>
            </w:pPr>
            <w:r>
              <w:rPr>
                <w:rFonts w:ascii="Times New Roman;Times;Serif" w:hAnsi="Times New Roman;Times;Serif"/>
              </w:rPr>
              <w:t>%</w:t>
            </w:r>
          </w:p>
        </w:tc>
      </w:tr>
      <w:tr>
        <w:trPr/>
        <w:tc>
          <w:tcPr>
            <w:tcW w:w="68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736" w:name="xdx_90F_eus-gaap--FinanceLeaseWeightedAv"/>
            <w:bookmarkEnd w:id="736"/>
            <w:r>
              <w:rPr>
                <w:rFonts w:ascii="Times New Roman;Times;Serif" w:hAnsi="Times New Roman;Times;Serif"/>
              </w:rPr>
              <w:t>6.12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737" w:name="xdx_90F_eus-gaap--FinanceLeaseWeightedAv"/>
            <w:bookmarkEnd w:id="737"/>
            <w:r>
              <w:rPr>
                <w:rFonts w:ascii="Times New Roman;Times;Serif" w:hAnsi="Times New Roman;Times;Serif"/>
              </w:rPr>
              <w:t>6.12</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bookmarkStart w:id="738" w:name="xdx_8AF_z2iexjPs4nO"/>
      <w:bookmarkEnd w:id="73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739" w:name="xdx_89B_ecustom--ScheduleOfOperatingAndF"/>
      <w:bookmarkEnd w:id="739"/>
      <w:r>
        <w:rPr>
          <w:rFonts w:ascii="Times New Roman;Times;Serif" w:hAnsi="Times New Roman;Times;Serif"/>
          <w:b w:val="false"/>
          <w:i w:val="false"/>
          <w:caps w:val="false"/>
          <w:smallCaps w:val="false"/>
          <w:sz w:val="20"/>
        </w:rPr>
        <w:t>Maturities of lease liabilities under noncancellable leases as of December 31, 2024 are as follows:</w:t>
      </w:r>
    </w:p>
    <w:p>
      <w:pPr>
        <w:pStyle w:val="TextBody"/>
        <w:bidi w:val="0"/>
        <w:jc w:val="left"/>
        <w:rPr>
          <w:rFonts w:ascii="Times New Roman;Times;Serif" w:hAnsi="Times New Roman;Times;Serif"/>
          <w:b w:val="false"/>
          <w:i w:val="false"/>
          <w:caps w:val="false"/>
          <w:smallCaps w:val="false"/>
          <w:sz w:val="20"/>
        </w:rPr>
      </w:pPr>
      <w:bookmarkStart w:id="740" w:name="xdx_8BC_znD799tqVH1b"/>
      <w:bookmarkEnd w:id="740"/>
      <w:r>
        <w:rPr>
          <w:rFonts w:ascii="Times New Roman;Times;Serif" w:hAnsi="Times New Roman;Times;Serif"/>
          <w:b w:val="false"/>
          <w:i w:val="false"/>
          <w:caps w:val="false"/>
          <w:smallCaps w:val="false"/>
          <w:sz w:val="20"/>
        </w:rPr>
        <w:t>Summary of Maturity of Lease Liabilities  </w:t>
      </w:r>
    </w:p>
    <w:tbl>
      <w:tblPr>
        <w:tblW w:w="5545" w:type="dxa"/>
        <w:jc w:val="left"/>
        <w:tblInd w:w="0" w:type="dxa"/>
        <w:tblLayout w:type="fixed"/>
        <w:tblCellMar>
          <w:top w:w="0" w:type="dxa"/>
          <w:left w:w="0" w:type="dxa"/>
          <w:bottom w:w="0" w:type="dxa"/>
          <w:right w:w="0" w:type="dxa"/>
        </w:tblCellMar>
      </w:tblPr>
      <w:tblGrid>
        <w:gridCol w:w="3335"/>
        <w:gridCol w:w="60"/>
        <w:gridCol w:w="157"/>
        <w:gridCol w:w="898"/>
        <w:gridCol w:w="95"/>
        <w:gridCol w:w="60"/>
        <w:gridCol w:w="166"/>
        <w:gridCol w:w="664"/>
        <w:gridCol w:w="110"/>
      </w:tblGrid>
      <w:tr>
        <w:trPr/>
        <w:tc>
          <w:tcPr>
            <w:tcW w:w="333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Finance</w:t>
            </w:r>
          </w:p>
        </w:tc>
        <w:tc>
          <w:tcPr>
            <w:tcW w:w="110" w:type="dxa"/>
            <w:tcBorders/>
            <w:vAlign w:val="center"/>
          </w:tcPr>
          <w:p>
            <w:pPr>
              <w:pStyle w:val="TableContents"/>
              <w:bidi w:val="0"/>
              <w:spacing w:before="0" w:after="283"/>
              <w:ind w:left="0" w:right="0" w:hanging="0"/>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leases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leases</w:t>
            </w:r>
          </w:p>
        </w:tc>
        <w:tc>
          <w:tcPr>
            <w:tcW w:w="110" w:type="dxa"/>
            <w:tcBorders/>
            <w:vAlign w:val="center"/>
          </w:tcPr>
          <w:p>
            <w:pPr>
              <w:pStyle w:val="TableContents"/>
              <w:bidi w:val="0"/>
              <w:spacing w:before="0" w:after="283"/>
              <w:ind w:left="0" w:right="0" w:hanging="0"/>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bookmarkStart w:id="741" w:name="xdx_980_eus-gaap--LesseeOperatingLeaseLi"/>
            <w:bookmarkEnd w:id="741"/>
          </w:p>
        </w:tc>
        <w:tc>
          <w:tcPr>
            <w:tcW w:w="8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742" w:name="xdx_987_eus-gaap--LesseeOperatingLeaseLi"/>
            <w:bookmarkEnd w:id="742"/>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3" w:name="xdx_989_eus-gaap--LesseeOperatingLeaseLi"/>
            <w:bookmarkEnd w:id="743"/>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4" w:name="xdx_98B_eus-gaap--LesseeOperatingLeaseLi"/>
            <w:bookmarkEnd w:id="744"/>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lease payments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bookmarkStart w:id="745" w:name="xdx_989_eus-gaap--LesseeOperatingLeaseLi"/>
            <w:bookmarkEnd w:id="745"/>
          </w:p>
        </w:tc>
        <w:tc>
          <w:tcPr>
            <w:tcW w:w="8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746" w:name="xdx_983_eus-gaap--LesseeOperatingLeaseLi"/>
            <w:bookmarkEnd w:id="746"/>
          </w:p>
        </w:tc>
        <w:tc>
          <w:tcPr>
            <w:tcW w:w="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7" w:name="xdx_985_eus-gaap--LesseeOperatingLeaseLi"/>
            <w:bookmarkEnd w:id="747"/>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8" w:name="xdx_980_eus-gaap--LesseeOperatingLeaseLi"/>
            <w:bookmarkEnd w:id="748"/>
          </w:p>
        </w:tc>
        <w:tc>
          <w:tcPr>
            <w:tcW w:w="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9" w:name="xdx_983_eus-gaap--OperatingLeaseLiabilit"/>
            <w:bookmarkEnd w:id="749"/>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50" w:name="xdx_985_eus-gaap--OperatingLeaseLiabilit"/>
            <w:bookmarkEnd w:id="750"/>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4,430</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51" w:name="xdx_8A7_zJNu1mnagcoc"/>
      <w:bookmarkEnd w:id="751"/>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52" w:name="xdx_801_eus-gaap--EarningsPerShareTextBl"/>
      <w:bookmarkEnd w:id="752"/>
      <w:r>
        <w:rPr>
          <w:rFonts w:ascii="Times New Roman;Times;Serif" w:hAnsi="Times New Roman;Times;Serif"/>
          <w:b/>
          <w:i w:val="false"/>
          <w:caps w:val="false"/>
          <w:smallCaps w:val="false"/>
          <w:sz w:val="20"/>
        </w:rPr>
        <w:t xml:space="preserve">(15) </w:t>
      </w:r>
      <w:bookmarkStart w:id="753" w:name="xdx_823_zXHRLB7fwIMf"/>
      <w:bookmarkEnd w:id="753"/>
      <w:r>
        <w:rPr>
          <w:rFonts w:ascii="Times New Roman;Times;Serif" w:hAnsi="Times New Roman;Times;Serif"/>
          <w:b/>
          <w:i w:val="false"/>
          <w:caps w:val="false"/>
          <w:smallCaps w:val="false"/>
          <w:sz w:val="20"/>
        </w:rPr>
        <w:t>Net Loss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attributable to common shareholders by the weighted-average number of common shares and pre-funded warrants outstanding during the period. The pre-funded warrants are included in the calculation of the weighted-average number of shares outstanding because their exercise requires only nominal consideration for the delivery of shares. The following table sets forth the computation of the basic and diluted net loss per share for years ended December 31, 2024 and 2023:</w:t>
      </w:r>
    </w:p>
    <w:p>
      <w:pPr>
        <w:pStyle w:val="TextBody"/>
        <w:bidi w:val="0"/>
        <w:jc w:val="both"/>
        <w:rPr>
          <w:caps w:val="false"/>
          <w:smallCaps w:val="false"/>
        </w:rPr>
      </w:pPr>
      <w:bookmarkStart w:id="754" w:name="xdx_896_eus-gaap--ScheduleOfEarningsPerS"/>
      <w:bookmarkEnd w:id="754"/>
      <w:r>
        <w:rPr>
          <w:caps w:val="false"/>
          <w:smallCaps w:val="false"/>
        </w:rPr>
        <w:t> </w:t>
      </w:r>
      <w:bookmarkStart w:id="755" w:name="xdx_8B7_zz30v9UpmNJ7"/>
      <w:bookmarkEnd w:id="755"/>
      <w:r>
        <w:rPr>
          <w:rFonts w:ascii="Times New Roman;Times;Serif" w:hAnsi="Times New Roman;Times;Serif"/>
          <w:b w:val="false"/>
          <w:i w:val="false"/>
          <w:caps w:val="false"/>
          <w:smallCaps w:val="false"/>
          <w:sz w:val="20"/>
        </w:rPr>
        <w:t>Schedule of Net Loss Per Share Basic and Diluted </w:t>
      </w:r>
    </w:p>
    <w:tbl>
      <w:tblPr>
        <w:tblW w:w="7550" w:type="dxa"/>
        <w:jc w:val="left"/>
        <w:tblInd w:w="0" w:type="dxa"/>
        <w:tblLayout w:type="fixed"/>
        <w:tblCellMar>
          <w:top w:w="0" w:type="dxa"/>
          <w:left w:w="0" w:type="dxa"/>
          <w:bottom w:w="0" w:type="dxa"/>
          <w:right w:w="0" w:type="dxa"/>
        </w:tblCellMar>
      </w:tblPr>
      <w:tblGrid>
        <w:gridCol w:w="4430"/>
        <w:gridCol w:w="60"/>
        <w:gridCol w:w="140"/>
        <w:gridCol w:w="1175"/>
        <w:gridCol w:w="95"/>
        <w:gridCol w:w="60"/>
        <w:gridCol w:w="140"/>
        <w:gridCol w:w="1175"/>
        <w:gridCol w:w="275"/>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6" w:name="xdx_491_20240101__20241231_z5uSEoUQnL46"/>
            <w:bookmarkEnd w:id="756"/>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7" w:name="xdx_49D_20230101__20231231_z0TL0EkHemab"/>
            <w:bookmarkEnd w:id="757"/>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7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bookmarkStart w:id="758" w:name="xdx_401_eus-gaap--NetIncomeLoss_zntKXPVz"/>
            <w:bookmarkEnd w:id="758"/>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(15,545,737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(23,534,947</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759" w:name="xdx_904_eus-gaap--WeightedAverageNumberO"/>
            <w:bookmarkStart w:id="760" w:name="xdx_903_eus-gaap--WeightedAverageNumberO"/>
            <w:bookmarkEnd w:id="759"/>
            <w:bookmarkEnd w:id="760"/>
            <w:r>
              <w:rPr>
                <w:rFonts w:ascii="Times New Roman;Times;Serif" w:hAnsi="Times New Roman;Times;Serif"/>
              </w:rPr>
              <w:t>1,524,797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761" w:name="xdx_901_eus-gaap--WeightedAverageNumberO"/>
            <w:bookmarkStart w:id="762" w:name="xdx_90F_eus-gaap--WeightedAverageNumberO"/>
            <w:bookmarkEnd w:id="761"/>
            <w:bookmarkEnd w:id="762"/>
            <w:r>
              <w:rPr>
                <w:rFonts w:ascii="Times New Roman;Times;Serif" w:hAnsi="Times New Roman;Times;Serif"/>
              </w:rPr>
              <w:t>75,435</w:t>
            </w:r>
          </w:p>
        </w:tc>
        <w:tc>
          <w:tcPr>
            <w:tcW w:w="275"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763" w:name="xdx_906_eus-gaap--EarningsPerShareDilute"/>
            <w:bookmarkStart w:id="764" w:name="xdx_90C_eus-gaap--EarningsPerShareBasic_"/>
            <w:bookmarkEnd w:id="763"/>
            <w:bookmarkEnd w:id="764"/>
            <w:r>
              <w:rPr>
                <w:rFonts w:ascii="Times New Roman;Times;Serif" w:hAnsi="Times New Roman;Times;Serif"/>
              </w:rPr>
              <w:t>(10.20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765" w:name="xdx_902_eus-gaap--EarningsPerShareDilute"/>
            <w:bookmarkStart w:id="766" w:name="xdx_90F_eus-gaap--EarningsPerShareBasic_"/>
            <w:bookmarkEnd w:id="765"/>
            <w:bookmarkEnd w:id="766"/>
            <w:r>
              <w:rPr>
                <w:rFonts w:ascii="Times New Roman;Times;Serif" w:hAnsi="Times New Roman;Times;Serif"/>
              </w:rPr>
              <w:t>(311.99</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both"/>
        <w:rPr>
          <w:caps w:val="false"/>
          <w:smallCaps w:val="false"/>
        </w:rPr>
      </w:pPr>
      <w:bookmarkStart w:id="767" w:name="xdx_8A0_zkZcgMhKfCB7"/>
      <w:bookmarkEnd w:id="767"/>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768" w:name="xdx_897_eus-gaap--ScheduleOfAntidilutive"/>
      <w:bookmarkEnd w:id="768"/>
      <w:r>
        <w:rPr>
          <w:rFonts w:ascii="Times New Roman;Times;Serif" w:hAnsi="Times New Roman;Times;Serif"/>
          <w:b w:val="false"/>
          <w:i w:val="false"/>
          <w:caps w:val="false"/>
          <w:smallCaps w:val="false"/>
          <w:sz w:val="20"/>
        </w:rPr>
        <w:t>Potentially dilutive securities that were not included in the diluted per share calculations because they would be anti-dilutive were as follows:</w:t>
      </w:r>
    </w:p>
    <w:p>
      <w:pPr>
        <w:pStyle w:val="TextBody"/>
        <w:bidi w:val="0"/>
        <w:jc w:val="both"/>
        <w:rPr>
          <w:caps w:val="false"/>
          <w:smallCaps w:val="false"/>
        </w:rPr>
      </w:pPr>
      <w:r>
        <w:rPr>
          <w:caps w:val="false"/>
          <w:smallCaps w:val="false"/>
        </w:rPr>
        <w:t> </w:t>
      </w:r>
      <w:bookmarkStart w:id="769" w:name="xdx_8BC_zY4MRGeQVVY2"/>
      <w:bookmarkEnd w:id="769"/>
      <w:r>
        <w:rPr>
          <w:rFonts w:ascii="Times New Roman;Times;Serif" w:hAnsi="Times New Roman;Times;Serif"/>
          <w:b w:val="false"/>
          <w:i w:val="false"/>
          <w:caps w:val="false"/>
          <w:smallCaps w:val="false"/>
          <w:sz w:val="20"/>
        </w:rPr>
        <w:t>Schedule of Potentially Dilutive Securities </w:t>
      </w:r>
    </w:p>
    <w:tbl>
      <w:tblPr>
        <w:tblW w:w="7610" w:type="dxa"/>
        <w:jc w:val="left"/>
        <w:tblInd w:w="0" w:type="dxa"/>
        <w:tblLayout w:type="fixed"/>
        <w:tblCellMar>
          <w:top w:w="0" w:type="dxa"/>
          <w:left w:w="0" w:type="dxa"/>
          <w:bottom w:w="0" w:type="dxa"/>
          <w:right w:w="0" w:type="dxa"/>
        </w:tblCellMar>
      </w:tblPr>
      <w:tblGrid>
        <w:gridCol w:w="5555"/>
        <w:gridCol w:w="60"/>
        <w:gridCol w:w="60"/>
        <w:gridCol w:w="800"/>
        <w:gridCol w:w="60"/>
        <w:gridCol w:w="60"/>
        <w:gridCol w:w="60"/>
        <w:gridCol w:w="680"/>
        <w:gridCol w:w="275"/>
      </w:tblGrid>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0" w:name="xdx_490_20240101__20241231_zV10JSOHLKea"/>
            <w:bookmarkEnd w:id="770"/>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1" w:name="xdx_49B_20230101__20231231_zeILSlclRqT9"/>
            <w:bookmarkEnd w:id="771"/>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75" w:type="dxa"/>
            <w:tcBorders/>
            <w:vAlign w:val="center"/>
          </w:tcPr>
          <w:p>
            <w:pPr>
              <w:pStyle w:val="TableContents"/>
              <w:bidi w:val="0"/>
              <w:spacing w:before="0" w:after="283"/>
              <w:jc w:val="left"/>
              <w:rPr/>
            </w:pPr>
            <w:r>
              <w:rPr/>
              <w:t> </w:t>
            </w:r>
            <w:bookmarkStart w:id="772" w:name="xdx_40C_eus-gaap--AntidilutiveSecurities"/>
            <w:bookmarkEnd w:id="772"/>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 issued under the 2021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4,775</w:t>
            </w:r>
          </w:p>
        </w:tc>
        <w:tc>
          <w:tcPr>
            <w:tcW w:w="275" w:type="dxa"/>
            <w:tcBorders/>
            <w:shd w:fill="CCEEFF" w:val="clear"/>
            <w:vAlign w:val="center"/>
          </w:tcPr>
          <w:p>
            <w:pPr>
              <w:pStyle w:val="TableContents"/>
              <w:bidi w:val="0"/>
              <w:spacing w:before="0" w:after="283"/>
              <w:jc w:val="left"/>
              <w:rPr/>
            </w:pPr>
            <w:r>
              <w:rPr/>
              <w:t> </w:t>
            </w:r>
            <w:bookmarkStart w:id="773" w:name="xdx_402_eus-gaap--AntidilutiveSecurities"/>
            <w:bookmarkEnd w:id="773"/>
          </w:p>
        </w:tc>
      </w:tr>
      <w:tr>
        <w:trPr/>
        <w:tc>
          <w:tcPr>
            <w:tcW w:w="55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purchase warrants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65,559</w:t>
            </w:r>
          </w:p>
        </w:tc>
        <w:tc>
          <w:tcPr>
            <w:tcW w:w="275" w:type="dxa"/>
            <w:tcBorders/>
            <w:shd w:fill="FFFFFF" w:val="clear"/>
            <w:vAlign w:val="center"/>
          </w:tcPr>
          <w:p>
            <w:pPr>
              <w:pStyle w:val="TableContents"/>
              <w:bidi w:val="0"/>
              <w:spacing w:before="0" w:after="283"/>
              <w:ind w:left="0" w:right="0" w:firstLine="200"/>
              <w:jc w:val="left"/>
              <w:rPr/>
            </w:pPr>
            <w:r>
              <w:rPr/>
              <w:t> </w:t>
            </w:r>
            <w:bookmarkStart w:id="774" w:name="xdx_40C_eus-gaap--AntidilutiveSecurities"/>
            <w:bookmarkEnd w:id="774"/>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70,334</w:t>
            </w:r>
          </w:p>
        </w:tc>
        <w:tc>
          <w:tcPr>
            <w:tcW w:w="275" w:type="dxa"/>
            <w:tcBorders/>
            <w:shd w:fill="CCEEFF" w:val="clear"/>
            <w:vAlign w:val="center"/>
          </w:tcPr>
          <w:p>
            <w:pPr>
              <w:pStyle w:val="TableContents"/>
              <w:bidi w:val="0"/>
              <w:spacing w:before="0" w:after="283"/>
              <w:ind w:left="0" w:right="0" w:firstLine="200"/>
              <w:jc w:val="left"/>
              <w:rPr/>
            </w:pPr>
            <w:r>
              <w:rPr/>
              <w:t> </w:t>
            </w:r>
            <w:bookmarkStart w:id="775" w:name="xdx_40A_eus-gaap--AntidilutiveSecurities"/>
            <w:bookmarkEnd w:id="775"/>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Antidilutive securities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923,090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70,334</w:t>
            </w:r>
          </w:p>
        </w:tc>
        <w:tc>
          <w:tcPr>
            <w:tcW w:w="2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76" w:name="xdx_8AD_z23dJqyyRCui"/>
      <w:bookmarkEnd w:id="776"/>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77" w:name="xdx_80B_eus-gaap--CollaborativeArrangeme"/>
      <w:bookmarkEnd w:id="777"/>
      <w:r>
        <w:rPr>
          <w:rFonts w:ascii="Times New Roman;Times;Serif" w:hAnsi="Times New Roman;Times;Serif"/>
          <w:b/>
          <w:i w:val="false"/>
          <w:caps w:val="false"/>
          <w:smallCaps w:val="false"/>
          <w:sz w:val="20"/>
        </w:rPr>
        <w:t xml:space="preserve">(16) </w:t>
      </w:r>
      <w:bookmarkStart w:id="778" w:name="xdx_82A_zyvm1lmAsB9b"/>
      <w:bookmarkEnd w:id="778"/>
      <w:r>
        <w:rPr>
          <w:rFonts w:ascii="Times New Roman;Times;Serif" w:hAnsi="Times New Roman;Times;Serif"/>
          <w:b/>
          <w:i w:val="false"/>
          <w:caps w:val="false"/>
          <w:smallCaps w:val="false"/>
          <w:sz w:val="20"/>
        </w:rPr>
        <w:t>License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CTx has a licensing agreement with a company related to the patents and licensed know-how for use in the development of CTx-1301, CTx-1302, and CTx-2103. CTx will pay the following upon the occurrence of the following milestone events: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bookmarkStart w:id="779" w:name="xdx_909_ecustom--MilestonePayment_c20240"/>
            <w:bookmarkEnd w:id="779"/>
            <w:r>
              <w:rPr>
                <w:rFonts w:ascii="Times New Roman;Times;Serif" w:hAnsi="Times New Roman;Times;Serif"/>
                <w:sz w:val="20"/>
              </w:rPr>
              <w:t>250,000 Milestone payment upon dosing of first patient in a Phase 3 Clinical Trial for each product in the field, payable on a per product basis.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bookmarkStart w:id="780" w:name="xdx_905_ecustom--MilestonePayment_c20240"/>
            <w:bookmarkEnd w:id="780"/>
            <w:r>
              <w:rPr>
                <w:rFonts w:ascii="Times New Roman;Times;Serif" w:hAnsi="Times New Roman;Times;Serif"/>
                <w:sz w:val="20"/>
              </w:rPr>
              <w:t>250,000 Milestone payment upon licensee filing of new drug application for each product in the field, payable on a per product basis.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bookmarkStart w:id="781" w:name="xdx_903_ecustom--MilestonePayment_c20240"/>
            <w:bookmarkEnd w:id="781"/>
            <w:r>
              <w:rPr>
                <w:rFonts w:ascii="Times New Roman;Times;Serif" w:hAnsi="Times New Roman;Times;Serif"/>
                <w:sz w:val="20"/>
              </w:rPr>
              <w:t>250,000 Milestone payment for CTx-1301 and CTx-1302 and $</w:t>
            </w:r>
            <w:bookmarkStart w:id="782" w:name="xdx_907_ecustom--MilestonePayment_c20240"/>
            <w:bookmarkEnd w:id="782"/>
            <w:r>
              <w:rPr>
                <w:rFonts w:ascii="Times New Roman;Times;Serif" w:hAnsi="Times New Roman;Times;Serif"/>
                <w:sz w:val="20"/>
              </w:rPr>
              <w:t>500,000 Milestone payment for CTx-2103 upon receipt of first marketing approval from the FDA, payable on a per product basis.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bookmarkStart w:id="783" w:name="xdx_900_ecustom--MilestonePayment_c20240"/>
            <w:bookmarkEnd w:id="783"/>
            <w:r>
              <w:rPr>
                <w:rFonts w:ascii="Times New Roman;Times;Serif" w:hAnsi="Times New Roman;Times;Serif"/>
                <w:sz w:val="20"/>
              </w:rPr>
              <w:t>250,000 Milestone payment for CTx-2103 upon receipt of first marketing approval from the EMA (European Medicines Agency)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2023, the Company paid the first milestone payment as the first patient in a CTx-1301 Phase 3 Clinical Trial was dosed. The Company has not recorded any expense relating to the other milestones for any other product as it has not deemed them probable of occurring as of December 31, 2024.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84" w:name="xdx_804_eus-gaap--RelatedPartyTransactio"/>
      <w:bookmarkEnd w:id="784"/>
      <w:r>
        <w:rPr>
          <w:rFonts w:ascii="Times New Roman;Times;Serif" w:hAnsi="Times New Roman;Times;Serif"/>
          <w:b/>
          <w:i w:val="false"/>
          <w:caps w:val="false"/>
          <w:smallCaps w:val="false"/>
          <w:sz w:val="20"/>
        </w:rPr>
        <w:t xml:space="preserve">(17) </w:t>
      </w:r>
      <w:bookmarkStart w:id="785" w:name="xdx_82E_z6C2D2Hc4knf"/>
      <w:bookmarkEnd w:id="785"/>
      <w:r>
        <w:rPr>
          <w:rFonts w:ascii="Times New Roman;Times;Serif" w:hAnsi="Times New Roman;Times;Serif"/>
          <w:b/>
          <w:i w:val="false"/>
          <w:caps w:val="false"/>
          <w:smallCaps w:val="false"/>
          <w:sz w:val="20"/>
        </w:rPr>
        <w:t>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general counsel of the Company is a partner with a law firm providing office facilities space that was leased by the Company. Rental expense incurred by the Company to the law firm was $</w:t>
      </w:r>
      <w:bookmarkStart w:id="786" w:name="xdx_90E_eus-gaap--OperatingCostsAndExpen"/>
      <w:bookmarkEnd w:id="786"/>
      <w:r>
        <w:rPr>
          <w:rFonts w:ascii="Times New Roman;Times;Serif" w:hAnsi="Times New Roman;Times;Serif"/>
          <w:b w:val="false"/>
          <w:i w:val="false"/>
          <w:caps w:val="false"/>
          <w:smallCaps w:val="false"/>
          <w:sz w:val="20"/>
        </w:rPr>
        <w:t>36,000 in 2023, which approximates fair value. As of December 31, 2023, the Company had no outstanding amounts payable under this lease and the lease expired on December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the Company’s Board of Directors, Peter Werth, is the manager of WFIA, the entity which provided $</w:t>
      </w:r>
      <w:bookmarkStart w:id="787" w:name="xdx_900_eus-gaap--DebtInstrumentFaceAmou"/>
      <w:bookmarkEnd w:id="787"/>
      <w:r>
        <w:rPr>
          <w:rFonts w:ascii="Times New Roman;Times;Serif" w:hAnsi="Times New Roman;Times;Serif"/>
          <w:b w:val="false"/>
          <w:i w:val="false"/>
          <w:caps w:val="false"/>
          <w:smallCaps w:val="false"/>
          <w:sz w:val="20"/>
        </w:rPr>
        <w:t>8.0 million in debt financing to the Company, $</w:t>
      </w:r>
      <w:bookmarkStart w:id="788" w:name="xdx_901_eus-gaap--DebtInstrumentFaceAmou"/>
      <w:bookmarkEnd w:id="788"/>
      <w:r>
        <w:rPr>
          <w:rFonts w:ascii="Times New Roman;Times;Serif" w:hAnsi="Times New Roman;Times;Serif"/>
          <w:b w:val="false"/>
          <w:i w:val="false"/>
          <w:caps w:val="false"/>
          <w:smallCaps w:val="false"/>
          <w:sz w:val="20"/>
        </w:rPr>
        <w:t>5.0 million of which was converted to equity in September 2023 and the remaining $</w:t>
      </w:r>
      <w:bookmarkStart w:id="789" w:name="xdx_90C_eus-gaap--DebtInstrumentFaceAmou"/>
      <w:bookmarkEnd w:id="789"/>
      <w:r>
        <w:rPr>
          <w:rFonts w:ascii="Times New Roman;Times;Serif" w:hAnsi="Times New Roman;Times;Serif"/>
          <w:b w:val="false"/>
          <w:i w:val="false"/>
          <w:caps w:val="false"/>
          <w:smallCaps w:val="false"/>
          <w:sz w:val="20"/>
        </w:rPr>
        <w:t>3.0 million was converted to equity in January 2024, as described in Note 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90" w:name="xdx_80A_eus-gaap--SubsequentEventsTextBl"/>
      <w:bookmarkEnd w:id="790"/>
      <w:r>
        <w:rPr>
          <w:rFonts w:ascii="Times New Roman;Times;Serif" w:hAnsi="Times New Roman;Times;Serif"/>
          <w:b/>
          <w:i w:val="false"/>
          <w:caps w:val="false"/>
          <w:smallCaps w:val="false"/>
          <w:sz w:val="20"/>
        </w:rPr>
        <w:t xml:space="preserve">(18) </w:t>
      </w:r>
      <w:bookmarkStart w:id="791" w:name="xdx_82E_zdmmDXN4RIw6"/>
      <w:bookmarkEnd w:id="791"/>
      <w:r>
        <w:rPr>
          <w:rFonts w:ascii="Times New Roman;Times;Serif" w:hAnsi="Times New Roman;Times;Serif"/>
          <w:b/>
          <w:i w:val="false"/>
          <w:caps w:val="false"/>
          <w:smallCaps w:val="false"/>
          <w:sz w:val="20"/>
        </w:rPr>
        <w:t>Subsequent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events that occurred subsequent to December 31, 2024 through March 27, 2025, which is the date the financial statements were issued.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January through March 27, 2025, the Company sold </w:t>
      </w:r>
      <w:bookmarkStart w:id="792" w:name="xdx_902_eus-gaap--SaleOfStockNumberOfSha"/>
      <w:bookmarkEnd w:id="792"/>
      <w:r>
        <w:rPr>
          <w:rFonts w:ascii="Times New Roman;Times;Serif" w:hAnsi="Times New Roman;Times;Serif"/>
          <w:b w:val="false"/>
          <w:i w:val="false"/>
          <w:caps w:val="false"/>
          <w:smallCaps w:val="false"/>
          <w:sz w:val="20"/>
        </w:rPr>
        <w:t>142,685 shares of common stock under the ATM Agreement, for net proceeds of $</w:t>
      </w:r>
      <w:bookmarkStart w:id="793" w:name="xdx_902_eus-gaap--ProceedsFromIssuanceOf"/>
      <w:bookmarkEnd w:id="793"/>
      <w:r>
        <w:rPr>
          <w:rFonts w:ascii="Times New Roman;Times;Serif" w:hAnsi="Times New Roman;Times;Serif"/>
          <w:b w:val="false"/>
          <w:i w:val="false"/>
          <w:caps w:val="false"/>
          <w:smallCaps w:val="false"/>
          <w:sz w:val="20"/>
        </w:rPr>
        <w:t>776,091.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January through March 27, 2025, the Company sold </w:t>
      </w:r>
      <w:bookmarkStart w:id="794" w:name="xdx_90A_eus-gaap--SaleOfStockNumberOfSha"/>
      <w:bookmarkEnd w:id="794"/>
      <w:r>
        <w:rPr>
          <w:rFonts w:ascii="Times New Roman;Times;Serif" w:hAnsi="Times New Roman;Times;Serif"/>
          <w:b w:val="false"/>
          <w:i w:val="false"/>
          <w:caps w:val="false"/>
          <w:smallCaps w:val="false"/>
          <w:sz w:val="20"/>
        </w:rPr>
        <w:t>223,409 shares of common stock under the Lincoln Park Purchase Agreement, for net proceeds of $</w:t>
      </w:r>
      <w:bookmarkStart w:id="795" w:name="xdx_90B_eus-gaap--ProceedsFromIssuanceOf"/>
      <w:bookmarkEnd w:id="795"/>
      <w:r>
        <w:rPr>
          <w:rFonts w:ascii="Times New Roman;Times;Serif" w:hAnsi="Times New Roman;Times;Serif"/>
          <w:b w:val="false"/>
          <w:i w:val="false"/>
          <w:caps w:val="false"/>
          <w:smallCaps w:val="false"/>
          <w:sz w:val="20"/>
        </w:rPr>
        <w:t>899,989.</w:t>
      </w:r>
    </w:p>
    <w:p>
      <w:pPr>
        <w:pStyle w:val="TextBody"/>
        <w:bidi w:val="0"/>
        <w:jc w:val="both"/>
        <w:rPr>
          <w:caps w:val="false"/>
          <w:smallCaps w:val="false"/>
        </w:rPr>
      </w:pPr>
      <w:bookmarkStart w:id="796" w:name="xdx_815_zU73FytbntR6"/>
      <w:bookmarkEnd w:id="79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97" w:name="ex4-5.htm"/>
      <w:bookmarkStart w:id="798" w:name="ksex45"/>
      <w:bookmarkEnd w:id="797"/>
      <w:bookmarkEnd w:id="79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summarizes the most important terms of our capital stock. It is subject to and qualified in its entirety by reference to our amended and restated certificate of incorporation (“Certificate of Incorporation”) and restated bylaws (“Bylaws”), which are included as exhibits to our annual report, of which this Exhibit 4.5 is a part. We encourage you to read our Certificate of Incorporation, our Bylaws and the applicable provisions of the General Corporation Law of the State of Delaware (the “DGCL”)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250,000,000 shares of capital stock authorized under our Certificate of Incorporation, consisting of 240,000,000 shares of common stock with a par value of $0.0001 per share and 10,000,000 shares of preferred stock with a par value of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21, 2025 there were 3,768,400 shares of common stock outstanding, and no shares of preferred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 The shares of common stock are neither redeemable nor convertible. Holders of common stock have no preemptive or subscription rights to purchase any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further action by our stockholders, to issue up to 10,000,000 shares of preferred stock in one or more classes or series and to fix the designations, rights, preferences, privileges and restrictions thereof, without further vote or action by the stockholders. These rights, preferences and privileges could include dividend rights, conversion rights, voting rights, terms of redemption, liquidation preferences, sinking fund terms and the number of shares constituting, or the designation of, such class or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our Common Stock Purchase Warrants (“Warrants”) is not complete and is subject to, and qualified in its entirety by the provisions of the Warrant Agent Agreement and form of Warrant which are filed as exhibits to this annual report of which this Exhibit 4.5 is a part. We encourage you to review the terms and provisions set forth in the Warrant Agent Agreement and form of Warrant. The Warrants are administered by Computershare Trust Company, N.A., as warrant agent.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exercisable immediately upon issuance and expire December 10, 2026. The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“Securities Act”) the issuance of the shares of common stock underlying the Warrants is not effective or available, the holder may, in its sole discretion, elect to exercise the Warrant through a cashless exercise, in which case the holder would receive upon such exercise the net number of shares of common stock determined according to the formula set forth in the Warrant. Unless otherwise specified in the Warrant, the holder will not have the right to exercise the Warrants, in whole or in part, if the holder (together with its affiliates and any persons acting as a group together with the holder or any of the holder’s affiliates) would beneficially own in excess of 4.99% of the number of our ordinary shares outstanding immediately after giving effect to the exercise, as such percentage is determined in accordance with the terms of the Warrant. However, any holder may increase or decrease such percentage to any other percentage not in excess of 9.99% upon at least 61 days’ prior notice from the holder to 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Price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exercise price per share of common stock purchasable upon exercise of the Warrants is equal to $144,000 and is subject to adjustments for stock splits or combinations, stock dividends and distributions, reclassifications, subdivisions, and other similar transactions. No fractional shares will be issued in connection with the exercise of a Warrant. In lieu of fractional shares, we will pay the holder an amount in cash equal to the fractional amount multiplied by the exercise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the Warrants are outstanding, (1) we consolidate or merge with or into another corporation whether or not the Company is the surviving corporation, (2) we sell, lease, license, assign, transfer, convey or otherwise dispose of all or substantially all of our assets, or any of its significant subsidiaries (as defined in Rule 1-02 of Regulation S-X) (3) any purchase offer, tender offer or exchange offer (whether by us or another individual or entity) is completed pursuant to which holders of the ordinary shares are permitted to sell, tender or exchange their ordinary shares for other securities, cash or property and has been accepted by the holders of 50% or more of the ordinary shares, (4) we consummate a securities purchase agreement or other business combination with another person or entity whereby such other person or entity acquires at least 50% of the outstanding ordinary shares, (5)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Warrants may be transferred at the option of the holders upon surrender of the to the warrant agent, together with the appropriate instruments of transfer.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Agent and Listing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in registered form under the Warrant Agent Agreement between us and the warrant agent. The Warrants are listed on Nasdaq under the symbol “CINGW.” The Warrants are represented only by one or more global warrants deposited with the warrant agent, as custodian on behalf of The Depository Trust Company, or DTC, and registered in the name of Cede &amp; Co., a nominee of DTC, or as otherwise directed by DTC.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Stockholder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Warrant Agent Agreement or by virtue of such holder’s ownership of common stock, holders of the Warrants do not have rights or privileges of holders of common stock, including any voting rights, until a holder exercises a Warrant.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shd w:fill="FFFFFF" w:val="clear"/>
        <w:bidi w:val="0"/>
        <w:spacing w:before="0" w:after="0"/>
        <w:ind w:left="0" w:right="0" w:hanging="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and the Warrant Agent Agreement are governed by New York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21 2025 there were Warrants to purchase 19,965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Our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Delaware law, our Certificate of Incorporation and our Bylaws described below may have the effect of delaying, deferring or discouraging another party from acquiring control of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w:t>
      </w:r>
    </w:p>
    <w:p>
      <w:pPr>
        <w:pStyle w:val="TextBody"/>
        <w:bidi w:val="0"/>
        <w:spacing w:before="0" w:after="0"/>
        <w:ind w:left="0" w:right="0" w:hanging="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loss, advances, guarantees, pledges or other financial benefits by or through the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to become effective upon completion of the offering, provide for:</w:t>
      </w:r>
    </w:p>
    <w:p>
      <w:pPr>
        <w:pStyle w:val="TextBody"/>
        <w:bidi w:val="0"/>
        <w:spacing w:before="0" w:after="0"/>
        <w:ind w:left="0" w:right="0" w:firstLine="72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classifying our board of directors into three classes;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the issuance of “blank check” preferred stock, the terms of which may be established and shares of which may be issued without stockholder approval;</w:t>
            </w:r>
          </w:p>
        </w:tc>
      </w:tr>
    </w:tbl>
    <w:p>
      <w:pPr>
        <w:pStyle w:val="TextBody"/>
        <w:bidi w:val="0"/>
        <w:spacing w:before="0" w:after="0"/>
        <w:ind w:left="72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the removal of directors by the stockholders;</w:t>
            </w:r>
          </w:p>
        </w:tc>
      </w:tr>
    </w:tbl>
    <w:p>
      <w:pPr>
        <w:pStyle w:val="TextBody"/>
        <w:bidi w:val="0"/>
        <w:spacing w:before="0" w:after="0"/>
        <w:ind w:left="720" w:right="0" w:hanging="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a supermajority vote of stockholders to amend our Bylaws or certain provisions our Certificate of Incorporation;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prohibiting stockholder action by written consent, thereby requiring all stockholder actions to be taken at a meeting of our stockholders;</w:t>
            </w:r>
          </w:p>
        </w:tc>
      </w:tr>
    </w:tbl>
    <w:p>
      <w:pPr>
        <w:pStyle w:val="TextBody"/>
        <w:bidi w:val="0"/>
        <w:spacing w:before="0" w:after="0"/>
        <w:ind w:left="720"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eliminating the ability of stockholders to call a special meeting of stockholders;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advance notice requirements for nominations for election to the board of directors or for proposing matters that can be acted upon at stockholder meetings; and</w:t>
            </w:r>
          </w:p>
        </w:tc>
      </w:tr>
    </w:tbl>
    <w:p>
      <w:pPr>
        <w:pStyle w:val="TextBody"/>
        <w:bidi w:val="0"/>
        <w:spacing w:before="0" w:after="0"/>
        <w:ind w:left="72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Delaware as the exclusive jurisdiction for certain stockholder litigation against 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Effects of Authorized but Unissued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Certificate of Incorporation, 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unissued and unreserved common stock and preferred stock may enable our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of directors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Delaware General Corporation Law and subject to any limitations set forth in our Certificate of Incorporation. The purpose of authorizing the board of directors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third-party to acquire, or could discourage a third-party from acquiring, a majority of our outstanding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consent in writing to the selection of an alternative forum, the Court of Chancery of the State of Delaware shall be the sole and exclusive forum for any stockholder to bring (i) any derivative action or proceeding brought on behalf of the Company, (ii) any action asserting a claim of breach of fiduciary duty owed by any director, officer or other employee of the Company or the Company’s stockholders, (iii) any action asserting a claim against the Company or any director or officer of the Company arising pursuant to, or a claim against the Company or any director or officer of the Company, with respect to the interpretation or application of any provision of the DGCL, our Certificate of Incorporation or Bylaws, or (iv) any action asserting a claim governed by the internal affairs doctrine, except for, in each of the aforementioned actions, any claims to which the Court of Chancery of the State of Delaware determines it lacks jurisdiction. This provision will not apply to claims arising under the Exchange Act, or for any other federal securities laws which provide for exclusive federal jurisdiction. However, the exclusive forum provision provides that unless we consent in writing to the selection of an alternative forum, the federal district courts of the United States of America will be the exclusive forum for the resolution of any complaint asserting a cause of action arising under the Securities Act. Therefore, this provision could apply to a suit that falls within one or more of the categories enumerated in the exclusive forum provision and that asserts claims under the Securities Act, inasmuch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an exclusive forum provision with respect to claims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799" w:name="ex10-3.htm"/>
      <w:bookmarkStart w:id="800" w:name="ksex103"/>
      <w:bookmarkEnd w:id="799"/>
      <w:bookmarkEnd w:id="800"/>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jc w:val="center"/>
        <w:rPr/>
      </w:pPr>
      <w:r>
        <w:rPr/>
        <w:drawing>
          <wp:inline distT="0" distB="0" distL="0" distR="0">
            <wp:extent cx="7620000" cy="10058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70"/>
                    <a:stretch>
                      <a:fillRect/>
                    </a:stretch>
                  </pic:blipFill>
                  <pic:spPr bwMode="auto">
                    <a:xfrm>
                      <a:off x="0" y="0"/>
                      <a:ext cx="7620000" cy="1005840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r>
        <w:rPr/>
        <w:drawing>
          <wp:inline distT="0" distB="0" distL="0" distR="0">
            <wp:extent cx="7620000" cy="10058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71"/>
                    <a:stretch>
                      <a:fillRect/>
                    </a:stretch>
                  </pic:blipFill>
                  <pic:spPr bwMode="auto">
                    <a:xfrm>
                      <a:off x="0" y="0"/>
                      <a:ext cx="7620000" cy="10058400"/>
                    </a:xfrm>
                    <a:prstGeom prst="rect">
                      <a:avLst/>
                    </a:prstGeom>
                  </pic:spPr>
                </pic:pic>
              </a:graphicData>
            </a:graphic>
          </wp:inline>
        </w:drawing>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7620000" cy="10058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72"/>
                    <a:stretch>
                      <a:fillRect/>
                    </a:stretch>
                  </pic:blipFill>
                  <pic:spPr bwMode="auto">
                    <a:xfrm>
                      <a:off x="0" y="0"/>
                      <a:ext cx="7620000" cy="1005840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7620000" cy="10058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73"/>
                    <a:stretch>
                      <a:fillRect/>
                    </a:stretch>
                  </pic:blipFill>
                  <pic:spPr bwMode="auto">
                    <a:xfrm>
                      <a:off x="0" y="0"/>
                      <a:ext cx="7620000" cy="1005840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caps/>
        </w:rPr>
      </w:pPr>
      <w:bookmarkStart w:id="801" w:name="ex19.htm"/>
      <w:bookmarkStart w:id="802" w:name="ksex19"/>
      <w:bookmarkEnd w:id="801"/>
      <w:bookmarkEnd w:id="802"/>
      <w:r>
        <w:rPr>
          <w:caps/>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Cingulate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INSIDER TRADING POLICY</w:t>
      </w:r>
    </w:p>
    <w:p>
      <w:pPr>
        <w:pStyle w:val="TextBody"/>
        <w:bidi w:val="0"/>
        <w:spacing w:before="0" w:after="0"/>
        <w:ind w:left="0" w:right="0" w:hanging="0"/>
        <w:jc w:val="center"/>
        <w:rPr>
          <w:caps/>
        </w:rPr>
      </w:pPr>
      <w:r>
        <w:rPr>
          <w:caps/>
        </w:rPr>
        <w:t> </w:t>
      </w:r>
    </w:p>
    <w:tbl>
      <w:tblPr>
        <w:tblW w:w="3265" w:type="dxa"/>
        <w:jc w:val="left"/>
        <w:tblInd w:w="0" w:type="dxa"/>
        <w:tblLayout w:type="fixed"/>
        <w:tblCellMar>
          <w:top w:w="0" w:type="dxa"/>
          <w:left w:w="0" w:type="dxa"/>
          <w:bottom w:w="0" w:type="dxa"/>
          <w:right w:w="0" w:type="dxa"/>
        </w:tblCellMar>
      </w:tblPr>
      <w:tblGrid>
        <w:gridCol w:w="155"/>
        <w:gridCol w:w="311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Statement on Insider Trading</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Cingulate Inc. (the “Company”) has adopted this policy on insider trading (the “Policy”) that applies to each officer, director and employee of the Company</w:t>
      </w:r>
      <w:r>
        <w:rPr>
          <w:rFonts w:ascii="Times New Roman;Times;Serif" w:hAnsi="Times New Roman;Times;Serif"/>
          <w:b/>
          <w:i w:val="false"/>
          <w:caps w:val="false"/>
          <w:smallCaps w:val="false"/>
          <w:position w:val="7"/>
          <w:sz w:val="16"/>
          <w:sz w:val="20"/>
        </w:rPr>
        <w:t>*</w:t>
      </w:r>
      <w:r>
        <w:rPr>
          <w:rFonts w:ascii="Times New Roman;Times;Serif" w:hAnsi="Times New Roman;Times;Serif"/>
          <w:b w:val="false"/>
          <w:i w:val="false"/>
          <w:caps w:val="false"/>
          <w:smallCaps w:val="false"/>
          <w:sz w:val="20"/>
        </w:rPr>
        <w:t>. It is the policy of the Company that no director, officer or other employee (or any other person designated by this Policy or the Company’s Chief Financial Officer) who is aware of material nonpublic information related to the Company may, directly or indirectly, through family members or other persons or entities:</w:t>
      </w:r>
    </w:p>
    <w:p>
      <w:pPr>
        <w:pStyle w:val="TextBody"/>
        <w:bidi w:val="0"/>
        <w:spacing w:before="0" w:after="0"/>
        <w:ind w:left="0" w:right="0" w:firstLine="72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transactions in the securities of the Company (except as otherwise expressly provided in this Policy);</w:t>
            </w:r>
          </w:p>
        </w:tc>
      </w:tr>
    </w:tbl>
    <w:p>
      <w:pPr>
        <w:pStyle w:val="TextBody"/>
        <w:bidi w:val="0"/>
        <w:spacing w:before="0" w:after="0"/>
        <w:ind w:left="1440" w:right="0" w:hanging="72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 that any other person engage in transactions in the securities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material nonpublic information to persons within the Company whose jobs do not require them to have that information or to persons outside of the Company, including, but not limited to, family, friends, business associates, investors and expert consulting firms, unless such disclosure is made in accordance with the Company’s policies regarding the protection or authorized external disclosure of information regarding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 anyone engaged in the above activities.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the policy of the Company that no director, officer or other employee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directors, officers and employees of the Company, its subsidiaries and its affiliates.</w:t>
      </w:r>
    </w:p>
    <w:p>
      <w:pPr>
        <w:pStyle w:val="TextBody"/>
        <w:bidi w:val="0"/>
        <w:spacing w:before="0" w:after="0"/>
        <w:ind w:left="0" w:right="0" w:firstLine="72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30"/>
        <w:gridCol w:w="338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33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Discussion: What is “Insider Trading”?</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is, in addition to being a violation of this Policy, a violation of securities laws. The penalties for insider trading are discussed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“insider trading” generally is used to refer to the use of material, nonpublic information to trade in securities or to communications of material, nonpublic information to others who may trade on the basis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10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“Company” refers to Cingulate Inc., its subsidiaries and its affiliates, collectively or individually, as the context requires.</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law concerning insider trading is not static, it is generally understood that the law prohibits insiders of the Company from doing the following:</w:t>
      </w:r>
    </w:p>
    <w:p>
      <w:pPr>
        <w:pStyle w:val="TextBody"/>
        <w:bidi w:val="0"/>
        <w:spacing w:before="0" w:after="0"/>
        <w:ind w:left="0" w:right="0" w:firstLine="72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in the Company’s securities while in possession of material, nonpublic information concerning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others trade on the insider’s behalf while he or she is in possession of material, nonpublic information.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Communicating nonpublic information concerning the Company or other companies that the Company does business with to others who may then trade in the Company’s securities or pass on the information to others who may trade in the Company’s securities. Such conduct, also known as “tipping,” violates laws that impose strict penalties upon both companies and individuals, including both financial sanctions and prison. Tipping results in civil and criminal liability for the insider of the Company who communicates such information, even if such insider does not actually trade himself, and for the person who received the information if the person has reason to know that it was an improper disclosure and acts on such information or passes it on to others who may act on it.</w:t>
            </w:r>
            <w:r>
              <w:rPr>
                <w:rFonts w:ascii="Times New Roman;Times;Serif" w:hAnsi="Times New Roman;Times;Serif"/>
                <w:b w:val="false"/>
                <w:i w:val="false"/>
                <w:caps w:val="false"/>
                <w:smallCaps w:val="false"/>
                <w:position w:val="7"/>
                <w:sz w:val="16"/>
                <w:sz w:val="20"/>
              </w:rPr>
              <w:t>[1]</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elements of insider trading and the potential penalties for such unlawful conduct are discussed herein.</w:t>
      </w:r>
    </w:p>
    <w:p>
      <w:pPr>
        <w:pStyle w:val="TextBody"/>
        <w:bidi w:val="0"/>
        <w:spacing w:before="0" w:after="0"/>
        <w:ind w:left="0" w:right="0" w:firstLine="72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0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Who is an Insider?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concept of “insider” generally includes any person who possesses nonpublic information about the Company and who has a duty to the Company to keep this information confidential. This Policy applies to all directors, officers and employees of the Company, its subsidiaries and its affiliates. In addition, the Company may determine that other persons should be subject to this Policy, such as service providers, contractors or consultants who have access to material nonpublic information in connection with such service. Outsiders who could be subject to this Policy include, among others, the Company’s attorneys, accountants, consultants, advisory board members, investment bankers and the employees of such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also applies to your family members who reside with you (including a spouse, child, child away at college, stepchildren, grandchildren, parents, stepparents, grandparents, siblings and in-laws), anyone else who lives in your household, and any family members whose transactions in the Company securities are directed by you or are subject to your influence or control (collectively referred to as “family members”). This Policy further applies to any entities that you influence or control, including any corporations, partnerships or trusts (collectively referred to as “controlled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civil and criminal liability of a tipper, a tipper may be held responsible for the profits of his “tippees.” This means that the tipper may be required to pay back the government all of the profits received by his tippee (and others in the chain of the tip), even if the tipper did not actually profit. Similarly, the profits of a tippee may be used to calculate the prison sentence of the tipper, which may extend the length of any sentence.</w:t>
            </w:r>
          </w:p>
        </w:tc>
      </w:tr>
    </w:tbl>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0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66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What is Material Information?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Material Information” generally is defined as information for which there is a substantial likelihood that a reasonable investor would consider such information important in making his or her investment decisions, or information that could be reasonably expected to affect the price of a company’s securities, whether it is positive or negative. It is important to remember that materiality will always be judged with the benefit of hindsight.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no precise definition of materiality, information is likely to be “material” if it relates to:</w:t>
      </w:r>
    </w:p>
    <w:p>
      <w:pPr>
        <w:pStyle w:val="TextBody"/>
        <w:bidi w:val="0"/>
        <w:spacing w:before="0" w:after="0"/>
        <w:ind w:left="0" w:right="0" w:firstLine="72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or expectations for the quarter or the year;</w:t>
            </w:r>
          </w:p>
        </w:tc>
      </w:tr>
    </w:tbl>
    <w:p>
      <w:pPr>
        <w:pStyle w:val="TextBody"/>
        <w:bidi w:val="0"/>
        <w:spacing w:before="0" w:after="0"/>
        <w:ind w:left="1440" w:right="0" w:hanging="72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forecasts or projections of future earnings or losses, or other earnings guidance;</w:t>
            </w:r>
          </w:p>
        </w:tc>
      </w:tr>
    </w:tbl>
    <w:p>
      <w:pPr>
        <w:pStyle w:val="TextBody"/>
        <w:bidi w:val="0"/>
        <w:spacing w:before="0" w:after="0"/>
        <w:ind w:left="1440" w:right="0" w:hanging="72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previously announced earnings guidance or the decision to suspend earnings guidance;</w:t>
            </w:r>
          </w:p>
        </w:tc>
      </w:tr>
    </w:tbl>
    <w:p>
      <w:pPr>
        <w:pStyle w:val="TextBody"/>
        <w:bidi w:val="0"/>
        <w:spacing w:before="0" w:after="0"/>
        <w:ind w:left="1440" w:right="0" w:hanging="72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development milestones;</w:t>
            </w:r>
          </w:p>
        </w:tc>
      </w:tr>
    </w:tbl>
    <w:p>
      <w:pPr>
        <w:pStyle w:val="TextBody"/>
        <w:bidi w:val="0"/>
        <w:spacing w:before="0" w:after="0"/>
        <w:ind w:left="1440" w:right="0" w:hanging="72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dividends, the declaration of a stock split or an offering of additional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or agreements involving a merger, acquisition, tender offer, joint venture, divestiture or leveraged buy-out;</w:t>
            </w:r>
          </w:p>
        </w:tc>
      </w:tr>
    </w:tbl>
    <w:p>
      <w:pPr>
        <w:pStyle w:val="TextBody"/>
        <w:bidi w:val="0"/>
        <w:spacing w:before="0" w:after="0"/>
        <w:ind w:left="1440" w:right="0" w:hanging="72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relationships with major customers, or obtaining or losing important contracts;</w:t>
            </w:r>
          </w:p>
        </w:tc>
      </w:tr>
    </w:tbl>
    <w:p>
      <w:pPr>
        <w:pStyle w:val="TextBody"/>
        <w:bidi w:val="0"/>
        <w:spacing w:before="0" w:after="0"/>
        <w:ind w:left="1440" w:right="0" w:hanging="72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a significant new product, process or service;</w:t>
            </w:r>
          </w:p>
        </w:tc>
      </w:tr>
    </w:tbl>
    <w:p>
      <w:pPr>
        <w:pStyle w:val="TextBody"/>
        <w:bidi w:val="0"/>
        <w:spacing w:before="0" w:after="0"/>
        <w:ind w:left="1440" w:right="0" w:hanging="72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 or other financing transactions out of the ordinary course;</w:t>
            </w:r>
          </w:p>
        </w:tc>
      </w:tr>
    </w:tbl>
    <w:p>
      <w:pPr>
        <w:pStyle w:val="TextBody"/>
        <w:bidi w:val="0"/>
        <w:spacing w:before="0" w:after="0"/>
        <w:ind w:left="1440" w:right="0" w:hanging="72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product developments;</w:t>
            </w:r>
          </w:p>
        </w:tc>
      </w:tr>
    </w:tbl>
    <w:p>
      <w:pPr>
        <w:pStyle w:val="TextBody"/>
        <w:bidi w:val="0"/>
        <w:spacing w:before="0" w:after="0"/>
        <w:ind w:left="1440" w:right="0" w:hanging="72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financing developments;</w:t>
            </w:r>
          </w:p>
        </w:tc>
      </w:tr>
    </w:tbl>
    <w:p>
      <w:pPr>
        <w:pStyle w:val="TextBody"/>
        <w:bidi w:val="0"/>
        <w:spacing w:before="0" w:after="0"/>
        <w:ind w:left="1440" w:right="0" w:hanging="72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7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personnel changes;</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indictments or material civil litigation or government investigations;</w:t>
            </w:r>
          </w:p>
        </w:tc>
      </w:tr>
    </w:tbl>
    <w:p>
      <w:pPr>
        <w:pStyle w:val="TextBody"/>
        <w:bidi w:val="0"/>
        <w:spacing w:before="0" w:after="0"/>
        <w:ind w:left="1440" w:right="0" w:hanging="72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disputes with major suppliers or customers;</w:t>
            </w:r>
          </w:p>
        </w:tc>
      </w:tr>
    </w:tbl>
    <w:p>
      <w:pPr>
        <w:pStyle w:val="TextBody"/>
        <w:bidi w:val="0"/>
        <w:spacing w:before="0" w:after="0"/>
        <w:ind w:left="1440" w:right="0" w:hanging="72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disputes including strikes or lockouts;</w:t>
            </w:r>
          </w:p>
        </w:tc>
      </w:tr>
    </w:tbl>
    <w:p>
      <w:pPr>
        <w:pStyle w:val="TextBody"/>
        <w:bidi w:val="0"/>
        <w:spacing w:before="0" w:after="0"/>
        <w:ind w:left="1440" w:right="0" w:hanging="72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change in accounting methods;</w:t>
            </w:r>
          </w:p>
        </w:tc>
      </w:tr>
    </w:tbl>
    <w:p>
      <w:pPr>
        <w:pStyle w:val="TextBody"/>
        <w:bidi w:val="0"/>
        <w:spacing w:before="0" w:after="0"/>
        <w:ind w:left="1440" w:right="0" w:hanging="72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risks and incidents;</w:t>
            </w:r>
          </w:p>
        </w:tc>
      </w:tr>
    </w:tbl>
    <w:p>
      <w:pPr>
        <w:pStyle w:val="TextBody"/>
        <w:bidi w:val="0"/>
        <w:spacing w:before="0" w:after="0"/>
        <w:ind w:left="1440"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service or liquidity problems;</w:t>
            </w:r>
          </w:p>
        </w:tc>
      </w:tr>
    </w:tbl>
    <w:p>
      <w:pPr>
        <w:pStyle w:val="TextBody"/>
        <w:bidi w:val="0"/>
        <w:spacing w:before="0" w:after="0"/>
        <w:ind w:left="1440" w:right="0" w:hanging="72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or insolvency;</w:t>
            </w:r>
          </w:p>
        </w:tc>
      </w:tr>
    </w:tbl>
    <w:p>
      <w:pPr>
        <w:pStyle w:val="TextBody"/>
        <w:bidi w:val="0"/>
        <w:spacing w:before="0" w:after="0"/>
        <w:ind w:left="1440" w:right="0" w:hanging="72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offerings or private sales of debt or equity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calls, redemptions or repurchases of the Company’s securities; or</w:t>
            </w:r>
          </w:p>
        </w:tc>
      </w:tr>
    </w:tbl>
    <w:p>
      <w:pPr>
        <w:pStyle w:val="TextBody"/>
        <w:bidi w:val="0"/>
        <w:spacing w:before="0" w:after="0"/>
        <w:ind w:left="1440" w:right="0" w:hanging="72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auditors or notification that the auditor’s reports may no longer be relied upon.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Inside” information could be material because of its expected effect on the price of the Company’s securities, the securities of another company or the securities of several companies. Moreover, the resulting prohibition against the misuse of “inside” information includes not only restrictions on trading in the Company’s securities but restrictions on trading in the securities of other companies affected by the inside information.</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0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78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What is Nonpublic Information?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information to qualify as “inside” information it must not only be “material,” it must be “nonpublic.” “Nonpublic” information is information which has not been made available to investors generally. This includes information received from sources or in circumstances indicating the information has not yet been generally circulated.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material, nonpublic information has been released to the investing public, it loses its status as “inside” information. However, for “nonpublic” information to become public information it must be disseminated through recognized channels of distribution designed to reach the securities marketplace or public disclosure documents filed with the SEC that are available on EDGAR, and sufficient time must pass for the information to become available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show that “material” information is public, it is generally necessary to point to some fact verifying that the information has become generally available, such as disclosure by filing of a Quarterly Report on Form 10-Q, Annual Report on Form 10-K, Current Report on Form 8-K or other report with the Securities and Exchange Commission or disclosure by press release to a national business and financial wire service (such as Dow Jones or Reuters), a national news service or a national newspaper (such as The Wall Street Journal). The circulation of rumors or “talk on the street,” even if accurate, widespread and reported in the media, does not constitute the requisite public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nonpublic information is not made public by selective dissemination. Material information improperly disclosed only to institutional investors or to a favored analyst or a group of analysts retains its status as “nonpublic” information, the use of which is subject to insider trading laws. Similarly, partial disclosure does not constitute public dissemination. So long as any material component of the “inside” information has yet to be publicly disclosed, the information is deemed “nonpublic” and may not be misused.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Company to not consider material information public until the second business day after appropriate public dissemination.</w:t>
      </w:r>
    </w:p>
    <w:p>
      <w:pPr>
        <w:pStyle w:val="TextBody"/>
        <w:bidi w:val="0"/>
        <w:spacing w:before="0" w:after="0"/>
        <w:ind w:left="0" w:right="0" w:firstLine="72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0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92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What Transactions Are Subject to this Policy?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transactions in the Company’s securities, including common stock, options or warrants to purchase common stock, or any other securities that the Company may issue, as well as derivative securities that are not issued by the Company, such as exchange-traded put or call options or swaps relating to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does not apply to the following transactions, except as specifically noted: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Option Exercises</w:t>
            </w:r>
            <w:r>
              <w:rPr>
                <w:rFonts w:ascii="Times New Roman;Times;Serif" w:hAnsi="Times New Roman;Times;Serif"/>
                <w:b w:val="false"/>
                <w:i w:val="false"/>
                <w:caps w:val="false"/>
                <w:smallCaps w:val="false"/>
                <w:sz w:val="20"/>
              </w:rPr>
              <w:t>. This Policy does not apply to the exercise of any employee stock option acquired pursuant to 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tc>
      </w:tr>
    </w:tbl>
    <w:p>
      <w:pPr>
        <w:pStyle w:val="TextBody"/>
        <w:bidi w:val="0"/>
        <w:spacing w:before="0" w:after="0"/>
        <w:ind w:left="1440" w:right="0" w:hanging="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Stock Awards</w:t>
            </w:r>
            <w:r>
              <w:rPr>
                <w:rFonts w:ascii="Times New Roman;Times;Serif" w:hAnsi="Times New Roman;Times;Serif"/>
                <w:b w:val="false"/>
                <w:i w:val="false"/>
                <w:caps w:val="false"/>
                <w:smallCaps w:val="false"/>
                <w:sz w:val="20"/>
              </w:rPr>
              <w:t>. This Policy does not apply to the vesting of restricted stock, or of a tax withholding right pursuant to which you elect to have the Company withhold shares of stock to satisfy tax withholding requirements upon the vesting of any restricted stock. This Policy, however, does apply to any market sale of restricted stock.</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Transactions with the Company</w:t>
            </w:r>
            <w:r>
              <w:rPr>
                <w:rFonts w:ascii="Times New Roman;Times;Serif" w:hAnsi="Times New Roman;Times;Serif"/>
                <w:b w:val="false"/>
                <w:i w:val="false"/>
                <w:caps w:val="false"/>
                <w:smallCaps w:val="false"/>
                <w:sz w:val="20"/>
              </w:rPr>
              <w:t>. This Policy does not apply to the purchase of the Company securities from the Company or the sale of the Company securities to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20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482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What Are the Consequences of Violations of This Policy?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securities transactions while aware of material, nonpublic information, or the disclosure of material, nonpublic information is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the purchase or sale of securities, while aware of material, nonpublic information, or communicating material, nonpublic information to others who then trade in such securities, are severe, both for the individuals involved in such unlawful conduct and, potentially, for their employers. A person can be subject to some or all of the penalties below even if he or she does not personally benefit from the violation (i.e., if the violation was one for tipping information). Penalties include:</w:t>
      </w:r>
    </w:p>
    <w:p>
      <w:pPr>
        <w:pStyle w:val="TextBody"/>
        <w:bidi w:val="0"/>
        <w:spacing w:before="0" w:after="0"/>
        <w:ind w:left="0" w:right="0" w:firstLine="72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jail sentences of up to 10 years;</w:t>
            </w:r>
          </w:p>
        </w:tc>
      </w:tr>
    </w:tbl>
    <w:p>
      <w:pPr>
        <w:pStyle w:val="TextBody"/>
        <w:bidi w:val="0"/>
        <w:spacing w:before="0" w:after="0"/>
        <w:ind w:left="1440" w:right="0" w:hanging="72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disgorgement of profits;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for the person who committed the violation of up to three times the profit gained or loss avoided, whether or not the person actually benefited;</w:t>
            </w:r>
          </w:p>
        </w:tc>
      </w:tr>
    </w:tbl>
    <w:p>
      <w:pPr>
        <w:pStyle w:val="TextBody"/>
        <w:bidi w:val="0"/>
        <w:spacing w:before="0" w:after="0"/>
        <w:ind w:left="1440" w:right="0" w:hanging="72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fines (no matter how small the profit) up to $1 million;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for the employer or other controlling person, such as a supervisor, of up to the greater of $1,000,000 or three times the amount of the profit gained or loss avoided.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violation of this Policy can be expected to result in serious sanctions by the Company, which may include dismissal for cause of the person involved, whether or not the employee’s failure to comply with this Policy results in a violation of law.</w:t>
      </w:r>
    </w:p>
    <w:p>
      <w:pPr>
        <w:pStyle w:val="TextBody"/>
        <w:bidi w:val="0"/>
        <w:spacing w:before="0" w:after="0"/>
        <w:ind w:left="0" w:right="0" w:firstLine="72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05"/>
        <w:gridCol w:w="3935"/>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Regarding Special Trading Procedures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Special Trading Procedures are applicable to all directors, officers and employees of the Company.</w:t>
      </w:r>
    </w:p>
    <w:p>
      <w:pPr>
        <w:pStyle w:val="TextBody"/>
        <w:bidi w:val="0"/>
        <w:spacing w:before="0" w:after="0"/>
        <w:ind w:left="0" w:right="0" w:firstLine="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2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Windows and Pre-Clearance.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times when the Company may be engaged in a material, nonpublic development. Although you may not know the specifics of the development, if you engaged in a trade before such development was disclosed to the public or resolved you might expose yourself and the Company to a charge of insider trading that could be costly and difficult to refute. In addition, a trade by you during such a development could result in significant adverse publicity for the Company.</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Therefore, except pursuant to a waiver described below, you, your family members and controlled entities may only purchase or sell securities of the Company during the three or four “trading windows” that occur each year and only after pre-clearing your intent to trade with the Company’s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windows consist of the period that begins on the second business day after issuance of a press release or other announcement by the Company disclosing quarterly or annual earnings through the date which is 14 days prior to the quarter or fiscal year end. To the extent a second trading window begins during the duration of an existing trading window, the trading window will continue for the duration of the trading window that expires on the latest date. In accordance with the procedure for waivers described below, in special circumstances a waiver may be given to allow a trade to occur outside of a trading window.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intend to engage in a trade during a trading window you must first receive permission to engage in a trade from the Company’s Chief Financial Officer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Company’s Chief Financial Officer may refuse to permit any transaction if he or she determines that it could give rise to a charge of insider trading. The Company’s Chief Financial Officer may seek advice of outside counsel as he or she may consider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receiving permission to engage in a trade, you should either complete your trade within three business days or make a new trading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options to purchase for cash and hold common stock of the Company or the purchase from the Company of common stock of the Company is not subject to the Special Trading Procedures outlined above, but the shares so acquired may not be sold except during a trading window, after authorization from the Company’s Chief Financial Officer has been received and after all other requirements of this Policy have been satisfied. Accordingly, the exercise of options and immediate sale of some or all of the shares through a broker is covered by these Special Trading Procedures.</w:t>
      </w:r>
    </w:p>
    <w:p>
      <w:pPr>
        <w:pStyle w:val="TextBody"/>
        <w:bidi w:val="0"/>
        <w:spacing w:before="0" w:after="0"/>
        <w:ind w:left="0" w:right="0" w:firstLine="72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0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17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Event-Specific Black-out Procedures.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an event may occur that is material to the Company and is known by only a few directors, officers or employees. So long as the event remains material and nonpublic, the persons who are aware of the event, as well as other persons covered by these Special Trading Procedures, may not trade in the Company’s securities. The existence of an event-specific blackout will not be announced, other than it may be announced to those who are aware of the event giving rise to the blackout. If, however, a person whose trades are subject to pre-clearance requests permission to trade in the Company’s securities during an event-specific blackout, the Company’s Chief Financial Officer will inform the requesting person of the existence of a blackout period, without disclosing the reason for the blackout. Any person made aware of the existence of an event-specific blackout should not disclose the existence of the blackout to any other person. The failure of the Company’s Chief Financial Officer to designate a person as being subject to an event-specific blackout will not relieve that person of the obligation not to trade while aware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10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Chief Financial Officer will be absent from the office or unavailable for a significant period of time, he or she will designate another executive officer of the Company to handle trading requests.</w:t>
            </w:r>
          </w:p>
        </w:tc>
      </w:tr>
    </w:tbl>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0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Rule 10b5-1 Plans.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and Exchange Commission has established regulations under which individuals may purchase and sell securities in compliance with “insider trading” laws (more specifically, Rule 10b5-1 of the Securities Exchange Act of 1934) if such purchases or sales are made pursuant to (i) a binding contract to purchase or sell the security, (ii) instructions provided to a third person to execute the trade for the instructing person or entity’s account or (iii) an adopted written plan for trading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at the time of the decision to enter into such contract or plan or decision to provide such instructions, you were not aware of material, nonpublic information. In addition to other requirements set forth in such regulations, the contract, instructions or plan must (a) specify the amount, price and date of the purchase or sale or (b) provide a written formula or algorithm or computer program for determining the amounts, prices and dates of such purchases or sales, and must include a cooling-off period consistent with applicable regulations before trading can commence.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Under the Company’s policy, you, your family members and your controlled entities may only enter into a contract or plan or provide instructions for the purchase or sale of securities of the Company in compliance with these regulations after receiving written pre-clearance from the Company’s Chief Financial Officer.</w:t>
      </w:r>
      <w:r>
        <w:rPr>
          <w:rFonts w:ascii="Times New Roman;Times;Serif" w:hAnsi="Times New Roman;Times;Serif"/>
          <w:b/>
          <w:i w:val="false"/>
          <w:caps w:val="false"/>
          <w:smallCaps w:val="false"/>
          <w:sz w:val="20"/>
        </w:rPr>
        <w:t xml:space="preserve"> A copy of the Rule 10b5-1 Plan should be submitted for approval at least three business days prior to the entry into the Rule 10b5-1 Plan.</w:t>
      </w:r>
    </w:p>
    <w:p>
      <w:pPr>
        <w:pStyle w:val="TextBody"/>
        <w:bidi w:val="0"/>
        <w:spacing w:before="0" w:after="0"/>
        <w:ind w:left="0" w:right="0" w:firstLine="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0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Post-Trade Reporting.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required to report to the Company’s Chief Financial Officer any transaction in securities of the Company by you, your family members or controlled entities not later than the business day following the date of your transaction. Each report you make to the Company’s Chief Financial Officer should include the date of the transaction, quantity, price and broker through which the transaction was effected. This reporting requirement may be satisfied by sending (or having your broker send) duplicate confirmations of trades to the Company’s Chief Financial Officer if such information is received by the required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reporting requirement is designed to help monitor compliance with the Special Trading Procedures set forth herein and to enable the Company to help those persons who are subject to reporting obligations under Section 16 of the Securities Exchange Act of 1934 to comply with such reporting obligations. Each officer and director, however, and not the Company, is personally responsible for ensuring that his or her transactions do not give rise to “short swing” liability under Section 16 and for filing timely reports of transactions with the Securities and Exchange Commission.</w:t>
      </w:r>
    </w:p>
    <w:p>
      <w:pPr>
        <w:pStyle w:val="TextBody"/>
        <w:bidi w:val="0"/>
        <w:spacing w:before="0" w:after="0"/>
        <w:ind w:left="0" w:right="0" w:firstLine="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0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701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Compliance with the Company’s Statement of Company Policy on Insider Trading.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 if you receive pre-clearance and it is during a trading window, you, your family members and your controlled entities may not trade in securities of the Company if you are in possession of material, nonpublic information about the Company. The procedures set forth herein are in addition to the general insider trading policy and are not a substitute therefor.</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90"/>
        <w:gridCol w:w="35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Prohibition Against Certain Transactions</w:t>
            </w:r>
          </w:p>
        </w:tc>
      </w:tr>
    </w:tbl>
    <w:p>
      <w:pPr>
        <w:pStyle w:val="TextBody"/>
        <w:bidi w:val="0"/>
        <w:spacing w:before="0" w:after="0"/>
        <w:ind w:left="720" w:right="0" w:hanging="72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Prohibition on Short Sales.</w:t>
            </w:r>
            <w:r>
              <w:rPr>
                <w:rFonts w:ascii="Times New Roman;Times;Serif" w:hAnsi="Times New Roman;Times;Serif"/>
                <w:b w:val="false"/>
                <w:i w:val="false"/>
                <w:caps w:val="false"/>
                <w:smallCaps w:val="false"/>
                <w:sz w:val="20"/>
              </w:rPr>
              <w:t xml:space="preserve"> Neither you, your family members nor your controlled entities may sell any securities of the Company that are not owned by such person at the time of the sale (a “short sale”) including a “sale against the box” (a sale with delayed delivery).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Trading in Standardized Options</w:t>
            </w:r>
            <w:r>
              <w:rPr>
                <w:rFonts w:ascii="Times New Roman;Times;Serif" w:hAnsi="Times New Roman;Times;Serif"/>
                <w:b w:val="false"/>
                <w:i w:val="false"/>
                <w:caps w:val="false"/>
                <w:smallCaps w:val="false"/>
                <w:sz w:val="20"/>
              </w:rPr>
              <w:t>. An “option” is the right either to buy or sell a specified amount or value of a particular underlying interest at a fixed exercise price by exercising the option before its specified expiration date. An option which gives a right to buy is a “call” option, and an option which gives a right to sell is a “put” option. Standardized options (which are so labeled as a result of their standardized terms) offer the opportunity to invest using substantial leverage and therefore lend themselves to significant potential for abusive trading on material inside information. Standardized options also expire soon after issuance and thus necessarily involve short-term speculation, even where the date of expiration of the option makes the option exempt from certain Securities and Exchange Commission restrictions.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writing of a call or the acquisition of a put also involves a “bet against the company” and therefore presents a clear conflict of interest for you. As a result, neither you, your family members nor controlled entities may trade in standardized options relating to the Company securities at any time.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Hedging Transactions</w:t>
            </w:r>
            <w:r>
              <w:rPr>
                <w:rFonts w:ascii="Times New Roman;Times;Serif" w:hAnsi="Times New Roman;Times;Serif"/>
                <w:b w:val="false"/>
                <w:i w:val="false"/>
                <w:caps w:val="false"/>
                <w:smallCaps w:val="false"/>
                <w:sz w:val="20"/>
              </w:rPr>
              <w:t>. Certain forms of hedging or monetization transactions, such as zero-cost collars and forward sale contracts, allow “insiders” to lock in much of the value of his or her stock holdings, often in exchange for all or part of the potential for upside appreciation in the stock. These transactions allow “insiders” to continue to own the covered securities, but without the full risks and rewards of ownership. When that occurs, the “insiders” may no longer have the same objectives as the Company’s other shareholders. Therefore, neither you, your family members nor your controlled entities may engage in any such transactions.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Margin Accounts and Pledges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you are aware of material, nonpublic information or otherwise are not permitted to trade in the Company securities, neither you, your family members nor your controlled entities may hold the Company securities in a margin account or pledge the Company securities as collateral for a loan unless such transaction has been pre-approved by the Company’s Chief Financial Officer.</w:t>
            </w:r>
          </w:p>
        </w:tc>
      </w:tr>
    </w:tbl>
    <w:p>
      <w:pPr>
        <w:pStyle w:val="TextBody"/>
        <w:bidi w:val="0"/>
        <w:spacing w:before="0" w:after="0"/>
        <w:ind w:left="1440" w:right="0" w:hanging="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15"/>
        <w:gridCol w:w="26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26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Post-Termination Transactions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continues to apply to any and all transactions in the Company’s securities following termination of your employment or other services to the Company. If you are in possession of material nonpublic information when you are terminated, you may not trade in the Company’s securities until that information has become public or is no longer material. The pre-clearance procedures specified above, however, will cease to apply to transactions in the Company’s securities upon the expiration of any blackout period applicable at the time of the termination of service.</w:t>
      </w:r>
    </w:p>
    <w:p>
      <w:pPr>
        <w:pStyle w:val="TextBody"/>
        <w:bidi w:val="0"/>
        <w:spacing w:before="0" w:after="0"/>
        <w:ind w:left="0" w:right="0" w:firstLine="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of Violations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know or have reason to believe that this Policy has been or may be violated, you should bring the actual or potential violation to the attention of the Company’s Chief Financial Officer.</w:t>
      </w:r>
    </w:p>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365"/>
        <w:gridCol w:w="2030"/>
      </w:tblGrid>
      <w:tr>
        <w:trPr/>
        <w:tc>
          <w:tcPr>
            <w:tcW w:w="3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Modifications; Waivers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amend or modify this Policy. Waiver of any provision of this Policy in a specific instance may be authorized in writing by the Company’s Chief Financial Officer (or his or her designee).</w:t>
      </w:r>
    </w:p>
    <w:p>
      <w:pPr>
        <w:pStyle w:val="TextBody"/>
        <w:bidi w:val="0"/>
        <w:spacing w:before="0" w:after="0"/>
        <w:ind w:left="0" w:right="0" w:firstLine="72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440"/>
        <w:gridCol w:w="860"/>
      </w:tblGrid>
      <w:tr>
        <w:trPr/>
        <w:tc>
          <w:tcPr>
            <w:tcW w:w="4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w:t>
            </w:r>
          </w:p>
        </w:tc>
      </w:tr>
    </w:tbl>
    <w:p>
      <w:pPr>
        <w:pStyle w:val="TextBody"/>
        <w:bidi w:val="0"/>
        <w:spacing w:before="0" w:after="0"/>
        <w:ind w:left="720" w:right="0" w:hanging="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regarding this Policy, you should contact the Company’s Chief Financial Officer.</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03" w:name="ex23-1.htm"/>
      <w:bookmarkStart w:id="804" w:name="ksex231"/>
      <w:bookmarkEnd w:id="803"/>
      <w:bookmarkEnd w:id="80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95350" cy="3524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74"/>
                    <a:stretch>
                      <a:fillRect/>
                    </a:stretch>
                  </pic:blipFill>
                  <pic:spPr bwMode="auto">
                    <a:xfrm>
                      <a:off x="0" y="0"/>
                      <a:ext cx="895350" cy="3524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 Suite 900</w:t>
        <w:br/>
        <w:t>10 South Broadway</w:t>
        <w:br/>
        <w:t>St. Louis, MO 63102-1761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(No. 333-264002, 333-270484, 333-278511, and 333-280819 on Form S-8; 333-269104 and 333-280818 on Form S-3; and 333-259408, 333-271455, 333-273405, 333-276502, 333-279515, 333-281628, and 333-282358 on Form S-1) of our report dated March 27, 2025, with respect to the consolidated financial statements of Cingulate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257300" cy="2667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75"/>
                    <a:stretch>
                      <a:fillRect/>
                    </a:stretch>
                  </pic:blipFill>
                  <pic:spPr bwMode="auto">
                    <a:xfrm>
                      <a:off x="0" y="0"/>
                      <a:ext cx="1257300" cy="266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w:t>
        <w:br/>
        <w:t>March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KPMG LLP, a Delaware limited liability partnership and a member firm of the KPMG global organization of independent member firms affiliated with KPMG International Limited, a private English company limited by guarantee.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805" w:name="ex24-1.htm"/>
      <w:bookmarkStart w:id="806" w:name="ksex241"/>
      <w:bookmarkEnd w:id="805"/>
      <w:bookmarkEnd w:id="80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KNOW ALL MEN BY THESE PRESENTS: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undersigned Director of Cingulate Inc. (the “Company”) does hereby constitute and appoint Shane J. Schaffer and Jenny L. Callahan, and each of them severally, his lawful attorneys and agents, for his and in his name and in his capacity as a Director of the Company, with full power and authority to do any and all acts and things and to execute any and all instruments that said attorneys and agents determine may be necessary, advisable, or required to enable the Company to comply with the Securities Exchange Act of 1934, as amended, and any rules, regulations, or requirements of the Securities and Exchange Commission in connection with the Company’s Annual Report on Form 10-K for the fiscal year ended December 31, 2024 (the “Form 10-K”), the powers granted include the power and authority to execute and file the Form 10-K, any and all amendments as a part of or in conjunction with the Form 10-K and any and all instruments or documents submitted as a part of or in conjunction with the Form 10-K. The undersigned hereby ratifies and confirms his signature as it may be signed by said attorneys and all that said attorneys and agents shall do or cause to be done by virtue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the date indicated below.</w:t>
      </w:r>
    </w:p>
    <w:p>
      <w:pPr>
        <w:pStyle w:val="TextBody"/>
        <w:bidi w:val="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60"/>
        <w:gridCol w:w="1685"/>
        <w:gridCol w:w="60"/>
        <w:gridCol w:w="13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Jeffrey S. Ervin</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S. Ervin</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Bryan Lawrence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Lawrence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A. Roberts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A. Roberts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J. Werth</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J. Werth</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07" w:name="ex31-1.htm"/>
      <w:bookmarkStart w:id="808" w:name="ksex311"/>
      <w:bookmarkEnd w:id="807"/>
      <w:bookmarkEnd w:id="80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Shane J. Schaffer,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period ended December 31, 2024 of Cingulate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caps w:val="false"/>
                <w:smallCaps w:val="false"/>
              </w:rPr>
            </w:pPr>
            <w:r>
              <w:rPr>
                <w:caps w:val="false"/>
                <w:smallCaps w:val="false"/>
              </w:rPr>
              <w:t> </w:t>
            </w:r>
          </w:p>
        </w:tc>
        <w:tc>
          <w:tcPr>
            <w:tcW w:w="98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05"/>
        <w:gridCol w:w="236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27, 2025</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09" w:name="ex31-2.htm"/>
      <w:bookmarkStart w:id="810" w:name="ksex312"/>
      <w:bookmarkEnd w:id="809"/>
      <w:bookmarkEnd w:id="8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Jennifer L. Callahan,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143"/>
        <w:gridCol w:w="98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period ended December 31, 2024 of Cingulate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8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805"/>
        <w:gridCol w:w="230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27, 2025</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Jennifer L. Callahan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Callahan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11" w:name="ex32-1.htm"/>
      <w:bookmarkStart w:id="812" w:name="ksex321"/>
      <w:bookmarkEnd w:id="811"/>
      <w:bookmarkEnd w:id="8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Annual Report on Form 10-K of Cingulate Inc. (the “Company”) for the year ended December 31, 2024 (the “Annual Report”), the undersigned hereby certifies in his capacity as an officer of the Company that to such officer’s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910"/>
        <w:gridCol w:w="320"/>
        <w:gridCol w:w="2360"/>
      </w:tblGrid>
      <w:tr>
        <w:trPr/>
        <w:tc>
          <w:tcPr>
            <w:tcW w:w="19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27, 2025</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813" w:name="ex32-2.htm"/>
      <w:bookmarkStart w:id="814" w:name="ksex322"/>
      <w:bookmarkEnd w:id="813"/>
      <w:bookmarkEnd w:id="81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Annual Report on Form 10-K of Cingulate Inc. (the “Company”) for the year ended December 31, 2024 (the “Annual Report”), the undersigned hereby certifies in his capacity as an officer of the Company that to such officer’s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910"/>
        <w:gridCol w:w="320"/>
        <w:gridCol w:w="2300"/>
      </w:tblGrid>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27, 2025</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Jennifer L. Callahan</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 Callahan</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862150/000149315221022284/ex2-1.htm" TargetMode="External"/><Relationship Id="rId17" Type="http://schemas.openxmlformats.org/officeDocument/2006/relationships/hyperlink" Target="https://www.sec.gov/Archives/edgar/data/0001862150/000149315224002224/ex3-1.htm" TargetMode="External"/><Relationship Id="rId18" Type="http://schemas.openxmlformats.org/officeDocument/2006/relationships/hyperlink" Target="https://www.sec.gov/Archives/edgar/data/1862150/000149315222007903/ex3-2.htm" TargetMode="External"/><Relationship Id="rId19" Type="http://schemas.openxmlformats.org/officeDocument/2006/relationships/hyperlink" Target="https://www.sec.gov/Archives/edgar/data/1862150/000149315221022284/ex4-1.htm" TargetMode="External"/><Relationship Id="rId20" Type="http://schemas.openxmlformats.org/officeDocument/2006/relationships/hyperlink" Target="https://www.sec.gov/Archives/edgar/data/1862150/000149315221027764/ex4-2.htm" TargetMode="External"/><Relationship Id="rId21" Type="http://schemas.openxmlformats.org/officeDocument/2006/relationships/hyperlink" Target="https://www.sec.gov/Archives/edgar/data/1862150/000149315221030967/ex4-3.htm" TargetMode="External"/><Relationship Id="rId22" Type="http://schemas.openxmlformats.org/officeDocument/2006/relationships/hyperlink" Target="https://www.sec.gov/Archives/edgar/data/1862150/000149315221030967/ex4-4.htm" TargetMode="External"/><Relationship Id="rId23" Type="http://schemas.openxmlformats.org/officeDocument/2006/relationships/hyperlink" Target="https://www.sec.gov/Archives/edgar/data/1862150/000149315223030578/ex4-6.htm" TargetMode="External"/><Relationship Id="rId24" Type="http://schemas.openxmlformats.org/officeDocument/2006/relationships/hyperlink" Target="https://www.sec.gov/Archives/edgar/data/1862150/000149315223030578/ex4-7.htm" TargetMode="External"/><Relationship Id="rId25" Type="http://schemas.openxmlformats.org/officeDocument/2006/relationships/hyperlink" Target="https://www.sec.gov/Archives/edgar/data/1862150/000149315223030578/ex4-8.htm" TargetMode="External"/><Relationship Id="rId26" Type="http://schemas.openxmlformats.org/officeDocument/2006/relationships/hyperlink" Target="https://www.sec.gov/Archives/edgar/data/0001862150/000149315223032175/ex4-1.htm" TargetMode="External"/><Relationship Id="rId27" Type="http://schemas.openxmlformats.org/officeDocument/2006/relationships/hyperlink" Target="https://www.sec.gov/Archives/edgar/data/0001862150/000149315224004061/ex4-1.htm" TargetMode="External"/><Relationship Id="rId28" Type="http://schemas.openxmlformats.org/officeDocument/2006/relationships/hyperlink" Target="https://www.sec.gov/Archives/edgar/data/0001862150/000149315224005157/ex4-2.htm" TargetMode="External"/><Relationship Id="rId29" Type="http://schemas.openxmlformats.org/officeDocument/2006/relationships/hyperlink" Target="https://www.sec.gov/Archives/edgar/data/0001862150/000149315224005157/ex4-3.htm" TargetMode="External"/><Relationship Id="rId30" Type="http://schemas.openxmlformats.org/officeDocument/2006/relationships/hyperlink" Target="https://www.sec.gov/Archives/edgar/data/0001862150/000149315224005157/ex4-4.htm" TargetMode="External"/><Relationship Id="rId31" Type="http://schemas.openxmlformats.org/officeDocument/2006/relationships/hyperlink" Target="https://www.sec.gov/Archives/edgar/data/1862150/000149315224012159/ex4-16.htm" TargetMode="External"/><Relationship Id="rId32" Type="http://schemas.openxmlformats.org/officeDocument/2006/relationships/hyperlink" Target="https://www.sec.gov/Archives/edgar/data/1862150/000149315224025724/ex4-1.htm" TargetMode="External"/><Relationship Id="rId33" Type="http://schemas.openxmlformats.org/officeDocument/2006/relationships/hyperlink" Target="https://www.sec.gov/Archives/edgar/data/1862150/000149315224025724/ex4-2.htm" TargetMode="External"/><Relationship Id="rId34" Type="http://schemas.openxmlformats.org/officeDocument/2006/relationships/hyperlink" Target="https://www.sec.gov/Archives/edgar/data/1862150/000149315224051196/ex4-1.htm" TargetMode="External"/><Relationship Id="rId35" Type="http://schemas.openxmlformats.org/officeDocument/2006/relationships/hyperlink" Target="https://www.sec.gov/Archives/edgar/data/1862150/000149315221022284/ex10-2.htm" TargetMode="External"/><Relationship Id="rId36" Type="http://schemas.openxmlformats.org/officeDocument/2006/relationships/hyperlink" Target="https://www.sec.gov/Archives/edgar/data/1862150/000149315222029474/ex10-1.htm" TargetMode="External"/><Relationship Id="rId37" Type="http://schemas.openxmlformats.org/officeDocument/2006/relationships/hyperlink" Target="https://www.sec.gov/Archives/edgar/data/1862150/000149315221023793/ex10-4.htm" TargetMode="External"/><Relationship Id="rId38" Type="http://schemas.openxmlformats.org/officeDocument/2006/relationships/hyperlink" Target="https://www.sec.gov/Archives/edgar/data/1862150/000149315221023793/ex10-5.htm" TargetMode="External"/><Relationship Id="rId39" Type="http://schemas.openxmlformats.org/officeDocument/2006/relationships/hyperlink" Target="http://www.sec.gov/Archives/edgar/data/1862150/000149315221023793/ex10-5.htm" TargetMode="External"/><Relationship Id="rId40" Type="http://schemas.openxmlformats.org/officeDocument/2006/relationships/hyperlink" Target="https://www.sec.gov/Archives/edgar/data/1862150/000149315221023793/ex10-6.htm" TargetMode="External"/><Relationship Id="rId41" Type="http://schemas.openxmlformats.org/officeDocument/2006/relationships/hyperlink" Target="https://www.sec.gov/Archives/edgar/data/1862150/000149315221023793/ex10-9.htm" TargetMode="External"/><Relationship Id="rId42" Type="http://schemas.openxmlformats.org/officeDocument/2006/relationships/hyperlink" Target="https://www.sec.gov/Archives/edgar/data/0001862150/000149315223007252/ex10-10.htm" TargetMode="External"/><Relationship Id="rId43" Type="http://schemas.openxmlformats.org/officeDocument/2006/relationships/hyperlink" Target="https://www.sec.gov/Archives/edgar/data/0001862150/000149315224002224/ex10-27.htm" TargetMode="External"/><Relationship Id="rId44" Type="http://schemas.openxmlformats.org/officeDocument/2006/relationships/hyperlink" Target="https://www.sec.gov/Archives/edgar/data/0001862150/000149315224004061/ex10-2.htm" TargetMode="External"/><Relationship Id="rId45" Type="http://schemas.openxmlformats.org/officeDocument/2006/relationships/hyperlink" Target="https://www.sec.gov/Archives/edgar/data/1862150/000149315221022284/ex10-10.htm" TargetMode="External"/><Relationship Id="rId46" Type="http://schemas.openxmlformats.org/officeDocument/2006/relationships/hyperlink" Target="https://www.sec.gov/Archives/edgar/data/1862150/000149315221023793/ex10-1.htm" TargetMode="External"/><Relationship Id="rId47" Type="http://schemas.openxmlformats.org/officeDocument/2006/relationships/hyperlink" Target="https://www.sec.gov/Archives/edgar/data/1862150/000149315224023602/ex10-1.htm" TargetMode="External"/><Relationship Id="rId48" Type="http://schemas.openxmlformats.org/officeDocument/2006/relationships/hyperlink" Target="https://www.sec.gov/Archives/edgar/data/1862150/000149315221023793/ex10-18.htm" TargetMode="External"/><Relationship Id="rId49" Type="http://schemas.openxmlformats.org/officeDocument/2006/relationships/hyperlink" Target="https://www.sec.gov/Archives/edgar/data/1862150/000149315221023793/ex10-19.htm" TargetMode="External"/><Relationship Id="rId50" Type="http://schemas.openxmlformats.org/officeDocument/2006/relationships/hyperlink" Target="https://www.sec.gov/Archives/edgar/data/1862150/000149315221023793/ex10-20.htm" TargetMode="External"/><Relationship Id="rId51" Type="http://schemas.openxmlformats.org/officeDocument/2006/relationships/hyperlink" Target="https://www.sec.gov/Archives/edgar/data/1862150/000149315221023793/ex10-21.htm" TargetMode="External"/><Relationship Id="rId52" Type="http://schemas.openxmlformats.org/officeDocument/2006/relationships/hyperlink" Target="https://www.sec.gov/Archives/edgar/data/1862150/000149315223000143/ex1-2.htm" TargetMode="External"/><Relationship Id="rId53" Type="http://schemas.openxmlformats.org/officeDocument/2006/relationships/hyperlink" Target="https://www.sec.gov/Archives/edgar/data/0001862150/000149315223016183/ex10-5.htm" TargetMode="External"/><Relationship Id="rId54" Type="http://schemas.openxmlformats.org/officeDocument/2006/relationships/hyperlink" Target="https://www.sec.gov/Archives/edgar/data/0001862150/000149315223007252/ex10-19.htm" TargetMode="External"/><Relationship Id="rId55" Type="http://schemas.openxmlformats.org/officeDocument/2006/relationships/hyperlink" Target="https://www.sec.gov/Archives/edgar/data/0001862150/000149315223013453/ex10-1.htm" TargetMode="External"/><Relationship Id="rId56" Type="http://schemas.openxmlformats.org/officeDocument/2006/relationships/hyperlink" Target="https://www.sec.gov/Archives/edgar/data/0001862150/000149315223013453/ex10-2.htm" TargetMode="External"/><Relationship Id="rId57" Type="http://schemas.openxmlformats.org/officeDocument/2006/relationships/hyperlink" Target="https://www.sec.gov/Archives/edgar/data/0001862150/000149315223016177/ex10-1.htm" TargetMode="External"/><Relationship Id="rId58" Type="http://schemas.openxmlformats.org/officeDocument/2006/relationships/hyperlink" Target="https://www.sec.gov/Archives/edgar/data/0001862150/000149315223028522/ex10-1.htm" TargetMode="External"/><Relationship Id="rId59" Type="http://schemas.openxmlformats.org/officeDocument/2006/relationships/hyperlink" Target="https://www.sec.gov/Archives/edgar/data/1862150/000149315223030578/ex10-24.htm" TargetMode="External"/><Relationship Id="rId60" Type="http://schemas.openxmlformats.org/officeDocument/2006/relationships/hyperlink" Target="https://www.sec.gov/Archives/edgar/data/0001862150/000149315223032175/ex10-1.htm" TargetMode="External"/><Relationship Id="rId61" Type="http://schemas.openxmlformats.org/officeDocument/2006/relationships/hyperlink" Target="https://www.sec.gov/Archives/edgar/data/0001862150/000149315224004061/ex10-1.htm" TargetMode="External"/><Relationship Id="rId62" Type="http://schemas.openxmlformats.org/officeDocument/2006/relationships/hyperlink" Target="https://www.sec.gov/Archives/edgar/data/0001862150/000149315224005157/ex10-1.htm" TargetMode="External"/><Relationship Id="rId63" Type="http://schemas.openxmlformats.org/officeDocument/2006/relationships/hyperlink" Target="https://www.sec.gov/Archives/edgar/data/1862150/000149315224025724/ex10-1.htm" TargetMode="External"/><Relationship Id="rId64" Type="http://schemas.openxmlformats.org/officeDocument/2006/relationships/hyperlink" Target="https://www.sec.gov/Archives/edgar/data/1862150/000149315224051196/ex10-1.htm" TargetMode="External"/><Relationship Id="rId65" Type="http://schemas.openxmlformats.org/officeDocument/2006/relationships/hyperlink" Target="https://www.sec.gov/Archives/edgar/data/1862150/000149315224051196/ex10-2.htm" TargetMode="External"/><Relationship Id="rId66" Type="http://schemas.openxmlformats.org/officeDocument/2006/relationships/hyperlink" Target="https://www.sec.gov/Archives/edgar/data/1862150/000149315224012159/ex21-1.htm" TargetMode="External"/><Relationship Id="rId67" Type="http://schemas.openxmlformats.org/officeDocument/2006/relationships/hyperlink" Target="https://www.sec.gov/Archives/edgar/data/1862150/000149315224012159/ex97-1.htm" TargetMode="External"/><Relationship Id="rId68" Type="http://schemas.openxmlformats.org/officeDocument/2006/relationships/image" Target="media/image15.jpeg"/><Relationship Id="rId69" Type="http://schemas.openxmlformats.org/officeDocument/2006/relationships/image" Target="media/image16.jpeg"/><Relationship Id="rId70" Type="http://schemas.openxmlformats.org/officeDocument/2006/relationships/image" Target="media/image17.jpeg"/><Relationship Id="rId71" Type="http://schemas.openxmlformats.org/officeDocument/2006/relationships/image" Target="media/image18.jpeg"/><Relationship Id="rId72" Type="http://schemas.openxmlformats.org/officeDocument/2006/relationships/image" Target="media/image19.jpeg"/><Relationship Id="rId73" Type="http://schemas.openxmlformats.org/officeDocument/2006/relationships/image" Target="media/image20.jpeg"/><Relationship Id="rId74" Type="http://schemas.openxmlformats.org/officeDocument/2006/relationships/image" Target="media/image21.jpeg"/><Relationship Id="rId75" Type="http://schemas.openxmlformats.org/officeDocument/2006/relationships/image" Target="media/image22.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100930</Words>
  <Characters>557799</Characters>
  <CharactersWithSpaces>661200</CharactersWithSpaces>
  <Paragraphs>11560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