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7047230" cy="56419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641975"/>
                    </a:xfrm>
                    <a:prstGeom prst="rect">
                      <a:avLst/>
                    </a:prstGeom>
                    <a:noFill/>
                  </pic:spPr>
                </pic:pic>
              </a:graphicData>
            </a:graphic>
          </wp:anchor>
        </w:drawing>
      </w:r>
    </w:p>
    <w:p>
      <w:pPr>
        <w:spacing w:after="0" w:line="1203"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Hargroves Thomas Jeffrey</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1901 W. 47TH PLACE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Cingulate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CING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02/13/2026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60" w:firstLine="2"/>
        <w:spacing w:after="0" w:line="251"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6" w:lineRule="exact"/>
        <w:rPr>
          <w:sz w:val="24"/>
          <w:szCs w:val="24"/>
          <w:color w:val="auto"/>
        </w:rPr>
      </w:pPr>
    </w:p>
    <w:p>
      <w:pPr>
        <w:sectPr>
          <w:pgSz w:w="11900" w:h="16838" w:orient="portrait"/>
          <w:cols w:equalWidth="0" w:num="3">
            <w:col w:w="3200" w:space="720"/>
            <w:col w:w="3102" w:space="720"/>
            <w:col w:w="3338"/>
          </w:cols>
          <w:pgMar w:left="460" w:top="216" w:right="35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KANSAS CITY</w:t>
            </w:r>
          </w:p>
        </w:tc>
        <w:tc>
          <w:tcPr>
            <w:tcW w:w="8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KS</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66205</w:t>
            </w:r>
          </w:p>
        </w:tc>
      </w:tr>
      <w:tr>
        <w:trPr>
          <w:trHeight w:val="146"/>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4"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60"/>
              <w:spacing w:after="0"/>
              <w:rPr>
                <w:sz w:val="20"/>
                <w:szCs w:val="20"/>
                <w:color w:val="auto"/>
              </w:rPr>
            </w:pPr>
            <w:r>
              <w:rPr>
                <w:rFonts w:ascii="Arial" w:cs="Arial" w:eastAsia="Arial" w:hAnsi="Arial"/>
                <w:sz w:val="11"/>
                <w:szCs w:val="11"/>
                <w:b w:val="1"/>
                <w:bCs w:val="1"/>
                <w:color w:val="auto"/>
              </w:rPr>
              <w:t>2. Transaction</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2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5. Amount of</w:t>
            </w:r>
          </w:p>
        </w:tc>
        <w:tc>
          <w:tcPr>
            <w:tcW w:w="400" w:type="dxa"/>
            <w:vAlign w:val="bottom"/>
          </w:tcPr>
          <w:p>
            <w:pPr>
              <w:spacing w:after="0"/>
              <w:rPr>
                <w:sz w:val="13"/>
                <w:szCs w:val="13"/>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6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1"/>
                <w:szCs w:val="11"/>
                <w:color w:val="auto"/>
              </w:rPr>
            </w:pP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400" w:type="dxa"/>
            <w:vAlign w:val="bottom"/>
          </w:tcPr>
          <w:p>
            <w:pPr>
              <w:spacing w:after="0"/>
              <w:rPr>
                <w:sz w:val="11"/>
                <w:szCs w:val="11"/>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1060" w:type="dxa"/>
            <w:vAlign w:val="bottom"/>
            <w:gridSpan w:val="4"/>
          </w:tcPr>
          <w:p>
            <w:pPr>
              <w:ind w:left="4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80" w:type="dxa"/>
            <w:vAlign w:val="bottom"/>
            <w:gridSpan w:val="2"/>
          </w:tcPr>
          <w:p>
            <w:pPr>
              <w:ind w:left="660"/>
              <w:spacing w:after="0"/>
              <w:rPr>
                <w:sz w:val="20"/>
                <w:szCs w:val="20"/>
                <w:color w:val="auto"/>
              </w:rPr>
            </w:pPr>
            <w:r>
              <w:rPr>
                <w:rFonts w:ascii="Arial" w:cs="Arial" w:eastAsia="Arial" w:hAnsi="Arial"/>
                <w:sz w:val="11"/>
                <w:szCs w:val="11"/>
                <w:b w:val="1"/>
                <w:bCs w:val="1"/>
                <w:color w:val="auto"/>
              </w:rPr>
              <w:t>(Month/Day/Year)</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20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Beneficially</w:t>
            </w:r>
          </w:p>
        </w:tc>
        <w:tc>
          <w:tcPr>
            <w:tcW w:w="400" w:type="dxa"/>
            <w:vAlign w:val="bottom"/>
          </w:tcPr>
          <w:p>
            <w:pPr>
              <w:spacing w:after="0"/>
              <w:rPr>
                <w:sz w:val="11"/>
                <w:szCs w:val="11"/>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1060" w:type="dxa"/>
            <w:vAlign w:val="bottom"/>
            <w:gridSpan w:val="4"/>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2"/>
          </w:tcPr>
          <w:p>
            <w:pPr>
              <w:ind w:left="2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1060" w:type="dxa"/>
            <w:vAlign w:val="bottom"/>
            <w:gridSpan w:val="4"/>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vMerge w:val="restart"/>
          </w:tcPr>
          <w:p>
            <w:pPr>
              <w:spacing w:after="0"/>
              <w:rPr>
                <w:sz w:val="5"/>
                <w:szCs w:val="5"/>
                <w:color w:val="auto"/>
              </w:rPr>
            </w:pP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Reported</w:t>
            </w: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60" w:type="dxa"/>
            <w:vAlign w:val="bottom"/>
            <w:gridSpan w:val="4"/>
            <w:vMerge w:val="restart"/>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5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14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By</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vMerge w:val="restart"/>
          </w:tcPr>
          <w:p>
            <w:pPr>
              <w:ind w:left="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5.04</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Hargroves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17"/>
                <w:szCs w:val="17"/>
                <w:color w:val="auto"/>
              </w:rPr>
            </w:pPr>
          </w:p>
        </w:tc>
        <w:tc>
          <w:tcPr>
            <w:tcW w:w="1680" w:type="dxa"/>
            <w:vAlign w:val="bottom"/>
            <w:gridSpan w:val="2"/>
          </w:tcPr>
          <w:p>
            <w:pPr>
              <w:ind w:left="680"/>
              <w:spacing w:after="0" w:line="203" w:lineRule="exact"/>
              <w:rPr>
                <w:sz w:val="20"/>
                <w:szCs w:val="20"/>
                <w:color w:val="auto"/>
              </w:rPr>
            </w:pPr>
            <w:r>
              <w:rPr>
                <w:rFonts w:ascii="Times New Roman" w:cs="Times New Roman" w:eastAsia="Times New Roman" w:hAnsi="Times New Roman"/>
                <w:sz w:val="16"/>
                <w:szCs w:val="16"/>
                <w:color w:val="0000FF"/>
              </w:rPr>
              <w:t>02/13/2026</w:t>
            </w:r>
            <w:r>
              <w:rPr>
                <w:rFonts w:ascii="Times New Roman" w:cs="Times New Roman" w:eastAsia="Times New Roman" w:hAnsi="Times New Roman"/>
                <w:sz w:val="21"/>
                <w:szCs w:val="21"/>
                <w:color w:val="008000"/>
                <w:vertAlign w:val="superscript"/>
              </w:rPr>
              <w:t>(1)</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Pr>
          <w:p>
            <w:pPr>
              <w:ind w:left="120"/>
              <w:spacing w:after="0" w:line="203" w:lineRule="exact"/>
              <w:rPr>
                <w:sz w:val="20"/>
                <w:szCs w:val="20"/>
                <w:color w:val="auto"/>
              </w:rPr>
            </w:pPr>
            <w:r>
              <w:rPr>
                <w:rFonts w:ascii="Times New Roman" w:cs="Times New Roman" w:eastAsia="Times New Roman" w:hAnsi="Times New Roman"/>
                <w:sz w:val="16"/>
                <w:szCs w:val="16"/>
                <w:color w:val="0000FF"/>
              </w:rPr>
              <w:t>97,276</w:t>
            </w:r>
            <w:r>
              <w:rPr>
                <w:rFonts w:ascii="Times New Roman" w:cs="Times New Roman" w:eastAsia="Times New Roman" w:hAnsi="Times New Roman"/>
                <w:sz w:val="21"/>
                <w:szCs w:val="21"/>
                <w:color w:val="008000"/>
                <w:vertAlign w:val="superscript"/>
              </w:rPr>
              <w:t>(2)</w:t>
            </w:r>
          </w:p>
        </w:tc>
        <w:tc>
          <w:tcPr>
            <w:tcW w:w="58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580" w:type="dxa"/>
            <w:vAlign w:val="bottom"/>
            <w:vMerge w:val="continue"/>
          </w:tcPr>
          <w:p>
            <w:pPr>
              <w:spacing w:after="0"/>
              <w:rPr>
                <w:sz w:val="17"/>
                <w:szCs w:val="17"/>
                <w:color w:val="auto"/>
              </w:rPr>
            </w:pPr>
          </w:p>
        </w:tc>
        <w:tc>
          <w:tcPr>
            <w:tcW w:w="1180" w:type="dxa"/>
            <w:vAlign w:val="bottom"/>
            <w:gridSpan w:val="3"/>
          </w:tcPr>
          <w:p>
            <w:pPr>
              <w:jc w:val="right"/>
              <w:ind w:right="322"/>
              <w:spacing w:after="0"/>
              <w:rPr>
                <w:sz w:val="20"/>
                <w:szCs w:val="20"/>
                <w:color w:val="auto"/>
              </w:rPr>
            </w:pPr>
            <w:r>
              <w:rPr>
                <w:rFonts w:ascii="Times New Roman" w:cs="Times New Roman" w:eastAsia="Times New Roman" w:hAnsi="Times New Roman"/>
                <w:sz w:val="16"/>
                <w:szCs w:val="16"/>
                <w:color w:val="0000FF"/>
              </w:rPr>
              <w:t>97,468</w:t>
            </w:r>
          </w:p>
        </w:tc>
        <w:tc>
          <w:tcPr>
            <w:tcW w:w="4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420" w:type="dxa"/>
            <w:vAlign w:val="bottom"/>
          </w:tcPr>
          <w:p>
            <w:pPr>
              <w:spacing w:after="0"/>
              <w:rPr>
                <w:sz w:val="17"/>
                <w:szCs w:val="17"/>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Family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312"/>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4"/>
          </w:tcPr>
          <w:p>
            <w:pPr>
              <w:ind w:left="4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0" w:type="dxa"/>
            <w:vAlign w:val="bottom"/>
            <w:gridSpan w:val="11"/>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20" w:type="dxa"/>
            <w:vAlign w:val="bottom"/>
            <w:gridSpan w:val="9"/>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4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420" w:type="dxa"/>
            <w:vAlign w:val="bottom"/>
          </w:tcPr>
          <w:p>
            <w:pPr>
              <w:ind w:left="40"/>
              <w:spacing w:after="0"/>
              <w:rPr>
                <w:sz w:val="20"/>
                <w:szCs w:val="20"/>
                <w:color w:val="auto"/>
              </w:rPr>
            </w:pPr>
            <w:r>
              <w:rPr>
                <w:rFonts w:ascii="Arial" w:cs="Arial" w:eastAsia="Arial" w:hAnsi="Arial"/>
                <w:sz w:val="11"/>
                <w:szCs w:val="11"/>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00" w:type="dxa"/>
            <w:vAlign w:val="bottom"/>
          </w:tcPr>
          <w:p>
            <w:pPr>
              <w:spacing w:after="0"/>
              <w:rPr>
                <w:sz w:val="11"/>
                <w:szCs w:val="11"/>
                <w:color w:val="auto"/>
              </w:rPr>
            </w:pP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Ownership</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00" w:type="dxa"/>
            <w:vAlign w:val="bottom"/>
          </w:tcPr>
          <w:p>
            <w:pPr>
              <w:spacing w:after="0"/>
              <w:rPr>
                <w:sz w:val="11"/>
                <w:szCs w:val="11"/>
                <w:color w:val="auto"/>
              </w:rPr>
            </w:pP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420" w:type="dxa"/>
            <w:vAlign w:val="bottom"/>
          </w:tcPr>
          <w:p>
            <w:pPr>
              <w:ind w:left="40"/>
              <w:spacing w:after="0"/>
              <w:rPr>
                <w:sz w:val="20"/>
                <w:szCs w:val="20"/>
                <w:color w:val="auto"/>
              </w:rPr>
            </w:pPr>
            <w:r>
              <w:rPr>
                <w:rFonts w:ascii="Arial" w:cs="Arial" w:eastAsia="Arial" w:hAnsi="Arial"/>
                <w:sz w:val="11"/>
                <w:szCs w:val="11"/>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Direct (D)</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48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or Indirect</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10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(Instr. 4)</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10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10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1"/>
                <w:szCs w:val="11"/>
                <w:color w:val="auto"/>
              </w:rPr>
            </w:pPr>
          </w:p>
        </w:tc>
        <w:tc>
          <w:tcPr>
            <w:tcW w:w="580" w:type="dxa"/>
            <w:vAlign w:val="bottom"/>
          </w:tcPr>
          <w:p>
            <w:pPr>
              <w:ind w:left="100"/>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tcPr>
          <w:p>
            <w:pPr>
              <w:ind w:left="10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Warrant to</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gridSpan w:val="3"/>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Hargroves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tcPr>
          <w:p>
            <w:pPr>
              <w:spacing w:after="0"/>
              <w:rPr>
                <w:sz w:val="5"/>
                <w:szCs w:val="5"/>
                <w:color w:val="auto"/>
              </w:rPr>
            </w:pPr>
          </w:p>
        </w:tc>
        <w:tc>
          <w:tcPr>
            <w:tcW w:w="1060" w:type="dxa"/>
            <w:vAlign w:val="bottom"/>
            <w:vMerge w:val="restart"/>
          </w:tcPr>
          <w:p>
            <w:pPr>
              <w:jc w:val="right"/>
              <w:ind w:right="120"/>
              <w:spacing w:after="0" w:line="216" w:lineRule="exact"/>
              <w:rPr>
                <w:sz w:val="20"/>
                <w:szCs w:val="20"/>
                <w:color w:val="auto"/>
              </w:rPr>
            </w:pPr>
            <w:r>
              <w:rPr>
                <w:rFonts w:ascii="Times New Roman" w:cs="Times New Roman" w:eastAsia="Times New Roman" w:hAnsi="Times New Roman"/>
                <w:sz w:val="13"/>
                <w:szCs w:val="13"/>
                <w:color w:val="0000FF"/>
              </w:rPr>
              <w:t>02/13/2026</w:t>
            </w:r>
            <w:r>
              <w:rPr>
                <w:rFonts w:ascii="Times New Roman" w:cs="Times New Roman" w:eastAsia="Times New Roman" w:hAnsi="Times New Roman"/>
                <w:sz w:val="21"/>
                <w:szCs w:val="21"/>
                <w:color w:val="008000"/>
                <w:vertAlign w:val="superscript"/>
              </w:rPr>
              <w:t>(1)</w:t>
            </w: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vMerge w:val="restart"/>
          </w:tcPr>
          <w:p>
            <w:pPr>
              <w:jc w:val="center"/>
              <w:ind w:right="22"/>
              <w:spacing w:after="0" w:line="216" w:lineRule="exact"/>
              <w:rPr>
                <w:sz w:val="20"/>
                <w:szCs w:val="20"/>
                <w:color w:val="auto"/>
              </w:rPr>
            </w:pPr>
            <w:r>
              <w:rPr>
                <w:rFonts w:ascii="Times New Roman" w:cs="Times New Roman" w:eastAsia="Times New Roman" w:hAnsi="Times New Roman"/>
                <w:sz w:val="13"/>
                <w:szCs w:val="13"/>
                <w:color w:val="0000FF"/>
              </w:rPr>
              <w:t>77,821</w:t>
            </w:r>
            <w:r>
              <w:rPr>
                <w:rFonts w:ascii="Times New Roman" w:cs="Times New Roman" w:eastAsia="Times New Roman" w:hAnsi="Times New Roman"/>
                <w:sz w:val="21"/>
                <w:szCs w:val="21"/>
                <w:color w:val="008000"/>
                <w:vertAlign w:val="superscript"/>
              </w:rPr>
              <w:t>(2)</w:t>
            </w: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77,821</w:t>
            </w: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5.04</w:t>
            </w:r>
          </w:p>
        </w:tc>
        <w:tc>
          <w:tcPr>
            <w:tcW w:w="106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1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3"/>
                <w:szCs w:val="13"/>
                <w:color w:val="0000FF"/>
              </w:rPr>
              <w:t>03/24/2026</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03/24/2029</w:t>
            </w:r>
          </w:p>
        </w:tc>
        <w:tc>
          <w:tcPr>
            <w:tcW w:w="58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780" w:type="dxa"/>
            <w:vAlign w:val="bottom"/>
            <w:gridSpan w:val="2"/>
          </w:tcPr>
          <w:p>
            <w:pPr>
              <w:jc w:val="center"/>
              <w:ind w:right="2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0.1</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77,821</w:t>
            </w:r>
          </w:p>
        </w:tc>
        <w:tc>
          <w:tcPr>
            <w:tcW w:w="4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I</w:t>
            </w:r>
          </w:p>
        </w:tc>
        <w:tc>
          <w:tcPr>
            <w:tcW w:w="280" w:type="dxa"/>
            <w:vAlign w:val="bottom"/>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Family</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ind w:left="60"/>
              <w:spacing w:after="0" w:line="64" w:lineRule="exact"/>
              <w:rPr>
                <w:sz w:val="20"/>
                <w:szCs w:val="20"/>
                <w:color w:val="auto"/>
              </w:rPr>
            </w:pPr>
            <w:r>
              <w:rPr>
                <w:rFonts w:ascii="Times New Roman" w:cs="Times New Roman" w:eastAsia="Times New Roman" w:hAnsi="Times New Roman"/>
                <w:sz w:val="7"/>
                <w:szCs w:val="7"/>
                <w:color w:val="0000FF"/>
              </w:rPr>
              <w:t>Common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ind w:left="160"/>
              <w:spacing w:after="0" w:line="64" w:lineRule="exact"/>
              <w:rPr>
                <w:sz w:val="20"/>
                <w:szCs w:val="20"/>
                <w:color w:val="auto"/>
              </w:rPr>
            </w:pPr>
            <w:r>
              <w:rPr>
                <w:rFonts w:ascii="Times New Roman" w:cs="Times New Roman" w:eastAsia="Times New Roman" w:hAnsi="Times New Roman"/>
                <w:sz w:val="7"/>
                <w:szCs w:val="7"/>
                <w:color w:val="0000FF"/>
              </w:rPr>
              <w:t>Stock</w:t>
            </w: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gridSpan w:val="3"/>
            <w:vMerge w:val="restart"/>
          </w:tcPr>
          <w:p>
            <w:pPr>
              <w:ind w:left="60"/>
              <w:spacing w:after="0" w:line="123" w:lineRule="exact"/>
              <w:rPr>
                <w:sz w:val="20"/>
                <w:szCs w:val="20"/>
                <w:color w:val="auto"/>
              </w:rPr>
            </w:pPr>
            <w:r>
              <w:rPr>
                <w:rFonts w:ascii="Times New Roman" w:cs="Times New Roman" w:eastAsia="Times New Roman" w:hAnsi="Times New Roman"/>
                <w:sz w:val="13"/>
                <w:szCs w:val="13"/>
                <w:color w:val="0000FF"/>
              </w:rPr>
              <w:t>Investments,</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3"/>
            <w:vMerge w:val="restart"/>
          </w:tcPr>
          <w:p>
            <w:pPr>
              <w:ind w:left="60"/>
              <w:spacing w:after="0" w:line="233" w:lineRule="exact"/>
              <w:rPr>
                <w:sz w:val="20"/>
                <w:szCs w:val="20"/>
                <w:color w:val="auto"/>
              </w:rPr>
            </w:pPr>
            <w:r>
              <w:rPr>
                <w:rFonts w:ascii="Times New Roman" w:cs="Times New Roman" w:eastAsia="Times New Roman" w:hAnsi="Times New Roman"/>
                <w:sz w:val="13"/>
                <w:szCs w:val="13"/>
                <w:color w:val="0000FF"/>
              </w:rPr>
              <w:t>LLC</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6.85</w:t>
            </w:r>
          </w:p>
        </w:tc>
        <w:tc>
          <w:tcPr>
            <w:tcW w:w="1060" w:type="dxa"/>
            <w:vAlign w:val="bottom"/>
          </w:tcPr>
          <w:p>
            <w:pPr>
              <w:jc w:val="right"/>
              <w:ind w:right="120"/>
              <w:spacing w:after="0" w:line="203" w:lineRule="exact"/>
              <w:rPr>
                <w:sz w:val="20"/>
                <w:szCs w:val="20"/>
                <w:color w:val="auto"/>
              </w:rPr>
            </w:pPr>
            <w:r>
              <w:rPr>
                <w:rFonts w:ascii="Times New Roman" w:cs="Times New Roman" w:eastAsia="Times New Roman" w:hAnsi="Times New Roman"/>
                <w:sz w:val="13"/>
                <w:szCs w:val="13"/>
                <w:color w:val="0000FF"/>
              </w:rPr>
              <w:t>03/09/2026</w:t>
            </w:r>
            <w:r>
              <w:rPr>
                <w:rFonts w:ascii="Times New Roman" w:cs="Times New Roman" w:eastAsia="Times New Roman" w:hAnsi="Times New Roman"/>
                <w:sz w:val="21"/>
                <w:szCs w:val="21"/>
                <w:color w:val="008000"/>
                <w:vertAlign w:val="superscript"/>
              </w:rPr>
              <w:t>(1)</w:t>
            </w:r>
          </w:p>
        </w:tc>
        <w:tc>
          <w:tcPr>
            <w:tcW w:w="1080" w:type="dxa"/>
            <w:vAlign w:val="bottom"/>
          </w:tcPr>
          <w:p>
            <w:pPr>
              <w:spacing w:after="0"/>
              <w:rPr>
                <w:sz w:val="17"/>
                <w:szCs w:val="17"/>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7"/>
                <w:szCs w:val="17"/>
                <w:color w:val="auto"/>
              </w:rPr>
            </w:pPr>
          </w:p>
        </w:tc>
        <w:tc>
          <w:tcPr>
            <w:tcW w:w="660" w:type="dxa"/>
            <w:vAlign w:val="bottom"/>
          </w:tcPr>
          <w:p>
            <w:pPr>
              <w:jc w:val="right"/>
              <w:ind w:right="102"/>
              <w:spacing w:after="0"/>
              <w:rPr>
                <w:sz w:val="20"/>
                <w:szCs w:val="20"/>
                <w:color w:val="auto"/>
              </w:rPr>
            </w:pPr>
            <w:r>
              <w:rPr>
                <w:rFonts w:ascii="Times New Roman" w:cs="Times New Roman" w:eastAsia="Times New Roman" w:hAnsi="Times New Roman"/>
                <w:sz w:val="13"/>
                <w:szCs w:val="13"/>
                <w:color w:val="0000FF"/>
              </w:rPr>
              <w:t>15,000</w:t>
            </w:r>
          </w:p>
        </w:tc>
        <w:tc>
          <w:tcPr>
            <w:tcW w:w="200" w:type="dxa"/>
            <w:vAlign w:val="bottom"/>
          </w:tcPr>
          <w:p>
            <w:pPr>
              <w:spacing w:after="0"/>
              <w:rPr>
                <w:sz w:val="17"/>
                <w:szCs w:val="17"/>
                <w:color w:val="auto"/>
              </w:rPr>
            </w:pPr>
          </w:p>
        </w:tc>
        <w:tc>
          <w:tcPr>
            <w:tcW w:w="780" w:type="dxa"/>
            <w:vAlign w:val="bottom"/>
          </w:tcPr>
          <w:p>
            <w:pPr>
              <w:jc w:val="right"/>
              <w:ind w:right="222"/>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03/09/2036</w:t>
            </w:r>
          </w:p>
        </w:tc>
        <w:tc>
          <w:tcPr>
            <w:tcW w:w="5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15,000</w:t>
            </w:r>
          </w:p>
        </w:tc>
        <w:tc>
          <w:tcPr>
            <w:tcW w:w="780" w:type="dxa"/>
            <w:vAlign w:val="bottom"/>
            <w:gridSpan w:val="2"/>
          </w:tcPr>
          <w:p>
            <w:pPr>
              <w:jc w:val="center"/>
              <w:ind w:right="2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15,000</w:t>
            </w:r>
          </w:p>
        </w:tc>
        <w:tc>
          <w:tcPr>
            <w:tcW w:w="42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0"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ind w:left="160"/>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54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3 filing was delayed due technical difficulties in obtaining the reporting person's EDGAR filing codes. The reporting person's beneficial ownership has been reported under the caption "Security Ownership of Certain Beneficial Owners and Management" in the registrant's SEC filings made since February 13, 2026.</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Common stock and warrants were acquired in the Issuer's private placement disclosed in the Current Report on Form 8-K filed with the SEC on January 28, 2026.</w:t>
      </w:r>
    </w:p>
    <w:p>
      <w:pPr>
        <w:spacing w:after="0" w:line="40" w:lineRule="exact"/>
        <w:rPr>
          <w:rFonts w:ascii="Times New Roman" w:cs="Times New Roman" w:eastAsia="Times New Roman" w:hAnsi="Times New Roman"/>
          <w:sz w:val="13"/>
          <w:szCs w:val="13"/>
          <w:color w:val="008000"/>
        </w:rPr>
      </w:pPr>
    </w:p>
    <w:p>
      <w:pPr>
        <w:ind w:left="40" w:right="48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disclaims beneficial ownership of these securities except to the extent of their pecuniary interest therein, and the inclusion of these shares in this report shall not be deemed an admission of beneficial ownership of all of the reported shares for purposes of Section 16 or for any other purpose.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as follows: 50% on the six-month anniversary of the date of grant and the remaining shares on the twelve-month anniversary of the date of grant.</w:t>
      </w:r>
    </w:p>
    <w:p>
      <w:pPr>
        <w:spacing w:after="0" w:line="6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Jeff Hargroves</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0000FF"/>
                <w:w w:val="98"/>
              </w:rPr>
              <w:t>06/08/2026</w:t>
            </w:r>
          </w:p>
        </w:tc>
      </w:tr>
      <w:tr>
        <w:trPr>
          <w:trHeight w:val="20"/>
        </w:trPr>
        <w:tc>
          <w:tcPr>
            <w:tcW w:w="11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3"/>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83231" TargetMode="External"/><Relationship Id="rId14" Type="http://schemas.openxmlformats.org/officeDocument/2006/relationships/hyperlink" Target="http://www.sec.gov/cgi-bin/browse-edgar?action=getcompany&amp;CIK=00018621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2026-06-08T18:03:45Z</dcterms:created>
  <dcterms:modified xsi:type="dcterms:W3CDTF">2026-06-08T18:03:45Z</dcterms:modified>
</cp:coreProperties>
</file>