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2"/>
          <w:szCs w:val="32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294640</wp:posOffset>
            </wp:positionV>
            <wp:extent cx="7132320" cy="431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431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354330</wp:posOffset>
            </wp:positionV>
            <wp:extent cx="7132320" cy="82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UNITED STATES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2"/>
          <w:szCs w:val="32"/>
          <w:b w:val="1"/>
          <w:bCs w:val="1"/>
          <w:color w:val="auto"/>
        </w:rPr>
        <w:t>SECURITIES AND EXCHANGE COMMISSION</w:t>
      </w: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Washington, D.C. 20549</w:t>
      </w:r>
    </w:p>
    <w:p>
      <w:pPr>
        <w:spacing w:after="0" w:line="162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2"/>
          <w:szCs w:val="32"/>
          <w:b w:val="1"/>
          <w:bCs w:val="1"/>
          <w:color w:val="auto"/>
        </w:rPr>
        <w:t>SCHEDULE 14A INFORMATION</w:t>
      </w:r>
    </w:p>
    <w:p>
      <w:pPr>
        <w:spacing w:after="0" w:line="237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Proxy Statement Pursuant to Section 14(a) of the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Securities Exchange Act of 1934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(Amendment No. )</w:t>
      </w:r>
    </w:p>
    <w:p>
      <w:pPr>
        <w:spacing w:after="0" w:line="166" w:lineRule="exact"/>
        <w:rPr>
          <w:sz w:val="24"/>
          <w:szCs w:val="24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 xml:space="preserve">Filed by the Registrant </w:t>
      </w:r>
      <w:r>
        <w:rPr>
          <w:rFonts w:ascii="MS PGothic" w:cs="MS PGothic" w:eastAsia="MS PGothic" w:hAnsi="MS PGothic"/>
          <w:sz w:val="18"/>
          <w:szCs w:val="18"/>
          <w:color w:val="auto"/>
        </w:rPr>
        <w:t>☒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 xml:space="preserve">Filed by a Party other than the Registrant </w:t>
      </w:r>
      <w:r>
        <w:rPr>
          <w:rFonts w:ascii="MS PGothic" w:cs="MS PGothic" w:eastAsia="MS PGothic" w:hAnsi="MS PGothic"/>
          <w:sz w:val="18"/>
          <w:szCs w:val="18"/>
          <w:color w:val="auto"/>
        </w:rPr>
        <w:t>☐</w:t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Check the appropriate box: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ind w:left="340" w:hanging="332"/>
        <w:spacing w:after="0"/>
        <w:tabs>
          <w:tab w:leader="none" w:pos="34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Preliminary Proxy Statement</w:t>
      </w:r>
    </w:p>
    <w:p>
      <w:pPr>
        <w:spacing w:after="0" w:line="225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340" w:hanging="332"/>
        <w:spacing w:after="0"/>
        <w:tabs>
          <w:tab w:leader="none" w:pos="34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Confidential, For Use of the Commission Only (as permitted by Rule 14a-6(e)(2))</w:t>
      </w:r>
    </w:p>
    <w:p>
      <w:pPr>
        <w:spacing w:after="0" w:line="225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340" w:hanging="332"/>
        <w:spacing w:after="0"/>
        <w:tabs>
          <w:tab w:leader="none" w:pos="34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Definitive Proxy Statement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ind w:left="340" w:hanging="332"/>
        <w:spacing w:after="0"/>
        <w:tabs>
          <w:tab w:leader="none" w:pos="340" w:val="left"/>
        </w:tabs>
        <w:numPr>
          <w:ilvl w:val="0"/>
          <w:numId w:val="2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Definitive Additional Materials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ind w:left="340" w:hanging="332"/>
        <w:spacing w:after="0"/>
        <w:tabs>
          <w:tab w:leader="none" w:pos="340" w:val="left"/>
        </w:tabs>
        <w:numPr>
          <w:ilvl w:val="0"/>
          <w:numId w:val="3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Soliciting Materials Pursuant to Rule 14a-12</w:t>
      </w:r>
    </w:p>
    <w:p>
      <w:pPr>
        <w:spacing w:after="0" w:line="196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2"/>
          <w:szCs w:val="32"/>
          <w:b w:val="1"/>
          <w:bCs w:val="1"/>
          <w:color w:val="auto"/>
        </w:rPr>
        <w:t>CINGULATE INC.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(Name of Registrant as Specified in Its Charter)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28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(Name of Person(s) Filing Proxy Statement, if Other Than the Registrant)</w:t>
      </w:r>
    </w:p>
    <w:p>
      <w:pPr>
        <w:spacing w:after="0" w:line="2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Payment of Filing Fee (Check all boxes that apply):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ind w:left="340" w:hanging="332"/>
        <w:spacing w:after="0"/>
        <w:tabs>
          <w:tab w:leader="none" w:pos="340" w:val="left"/>
        </w:tabs>
        <w:numPr>
          <w:ilvl w:val="0"/>
          <w:numId w:val="4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No fee required.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ind w:left="340" w:hanging="332"/>
        <w:spacing w:after="0"/>
        <w:tabs>
          <w:tab w:leader="none" w:pos="340" w:val="left"/>
        </w:tabs>
        <w:numPr>
          <w:ilvl w:val="0"/>
          <w:numId w:val="5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Fee paid previously with preliminary materials</w:t>
      </w:r>
    </w:p>
    <w:p>
      <w:pPr>
        <w:spacing w:after="0" w:line="225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340" w:hanging="332"/>
        <w:spacing w:after="0"/>
        <w:tabs>
          <w:tab w:leader="none" w:pos="340" w:val="left"/>
        </w:tabs>
        <w:numPr>
          <w:ilvl w:val="0"/>
          <w:numId w:val="5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Fee computed on table in exhibit required by Item 25(b) per Exchange Act Rules 14a-6(i)(1) and 0-11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154305</wp:posOffset>
            </wp:positionV>
            <wp:extent cx="7132320" cy="8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171450</wp:posOffset>
            </wp:positionV>
            <wp:extent cx="7132320" cy="431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431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497205</wp:posOffset>
            </wp:positionV>
            <wp:extent cx="713232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139"/>
          </w:cols>
          <w:pgMar w:left="320" w:top="740" w:right="1440" w:bottom="1440" w:gutter="0" w:footer="0" w:header="0"/>
        </w:sectPr>
      </w:pPr>
    </w:p>
    <w:bookmarkStart w:id="1" w:name="page2"/>
    <w:bookmarkEnd w:id="1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448945</wp:posOffset>
            </wp:positionV>
            <wp:extent cx="7132320" cy="79463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79463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448945</wp:posOffset>
            </wp:positionV>
            <wp:extent cx="7132320" cy="79463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79463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</w:fonts>
</file>

<file path=word/numbering.xml><?xml version="1.0" encoding="utf-8"?>
<w:numbering xmlns:w="http://schemas.openxmlformats.org/wordprocessingml/2006/main">
  <w:abstractNum w:abstractNumId="0">
    <w:nsid w:val="19495CFF"/>
    <w:multiLevelType w:val="hybridMultilevel"/>
    <w:lvl w:ilvl="0">
      <w:lvlJc w:val="left"/>
      <w:lvlText w:val="☐"/>
      <w:numFmt w:val="bullet"/>
      <w:start w:val="1"/>
    </w:lvl>
  </w:abstractNum>
  <w:abstractNum w:abstractNumId="1">
    <w:nsid w:val="2AE8944A"/>
    <w:multiLevelType w:val="hybridMultilevel"/>
    <w:lvl w:ilvl="0">
      <w:lvlJc w:val="left"/>
      <w:lvlText w:val="☒"/>
      <w:numFmt w:val="bullet"/>
      <w:start w:val="1"/>
    </w:lvl>
  </w:abstractNum>
  <w:abstractNum w:abstractNumId="2">
    <w:nsid w:val="625558EC"/>
    <w:multiLevelType w:val="hybridMultilevel"/>
    <w:lvl w:ilvl="0">
      <w:lvlJc w:val="left"/>
      <w:lvlText w:val="☐"/>
      <w:numFmt w:val="bullet"/>
      <w:start w:val="1"/>
    </w:lvl>
  </w:abstractNum>
  <w:abstractNum w:abstractNumId="3">
    <w:nsid w:val="238E1F29"/>
    <w:multiLevelType w:val="hybridMultilevel"/>
    <w:lvl w:ilvl="0">
      <w:lvlJc w:val="left"/>
      <w:lvlText w:val="☒"/>
      <w:numFmt w:val="bullet"/>
      <w:start w:val="1"/>
    </w:lvl>
  </w:abstractNum>
  <w:abstractNum w:abstractNumId="4">
    <w:nsid w:val="46E87CCD"/>
    <w:multiLevelType w:val="hybridMultilevel"/>
    <w:lvl w:ilvl="0">
      <w:lvlJc w:val="left"/>
      <w:lvlText w:val="☐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2026-05-29T07:06:33Z</dcterms:created>
  <dcterms:modified xsi:type="dcterms:W3CDTF">2026-05-29T07:06:33Z</dcterms:modified>
</cp:coreProperties>
</file>